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7F" w:rsidRPr="00BB5F7F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ind w:firstLine="450"/>
        <w:jc w:val="center"/>
        <w:rPr>
          <w:rFonts w:ascii="Simsun" w:hAnsi="Simsun" w:cs="宋体"/>
          <w:b/>
          <w:color w:val="4A4A4A"/>
          <w:kern w:val="0"/>
          <w:sz w:val="32"/>
          <w:szCs w:val="32"/>
        </w:rPr>
      </w:pPr>
      <w:r w:rsidRPr="00BB5F7F">
        <w:rPr>
          <w:rFonts w:ascii="Simsun" w:hAnsi="Simsun" w:cs="宋体"/>
          <w:b/>
          <w:color w:val="000000"/>
          <w:kern w:val="0"/>
          <w:sz w:val="32"/>
          <w:szCs w:val="32"/>
        </w:rPr>
        <w:t>2014</w:t>
      </w:r>
      <w:r w:rsidRPr="00BB5F7F">
        <w:rPr>
          <w:rFonts w:ascii="宋体" w:hAnsi="宋体" w:cs="宋体"/>
          <w:b/>
          <w:color w:val="000000"/>
          <w:kern w:val="0"/>
          <w:sz w:val="32"/>
          <w:szCs w:val="32"/>
        </w:rPr>
        <w:t>年度国家法治与法学理论研究项目</w:t>
      </w:r>
      <w:r w:rsidRPr="00BB5F7F">
        <w:rPr>
          <w:rFonts w:ascii="Simsun" w:hAnsi="Simsun" w:cs="宋体"/>
          <w:b/>
          <w:color w:val="000000"/>
          <w:kern w:val="0"/>
          <w:sz w:val="32"/>
          <w:szCs w:val="32"/>
        </w:rPr>
        <w:t> </w:t>
      </w:r>
      <w:r w:rsidRPr="00BB5F7F">
        <w:rPr>
          <w:rFonts w:ascii="宋体" w:hAnsi="宋体" w:cs="宋体"/>
          <w:b/>
          <w:color w:val="000000"/>
          <w:kern w:val="0"/>
          <w:sz w:val="32"/>
          <w:szCs w:val="32"/>
        </w:rPr>
        <w:t>课题指南目录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Simsun" w:hAnsi="Simsun" w:cs="宋体"/>
          <w:b/>
          <w:bCs/>
          <w:color w:val="000000"/>
          <w:kern w:val="0"/>
          <w:sz w:val="22"/>
        </w:rPr>
        <w:t>    </w:t>
      </w:r>
      <w:r w:rsidRPr="00C9724E">
        <w:rPr>
          <w:rFonts w:ascii="宋体" w:hAnsi="宋体" w:cs="宋体" w:hint="eastAsia"/>
          <w:b/>
          <w:bCs/>
          <w:color w:val="000000"/>
          <w:kern w:val="0"/>
          <w:sz w:val="22"/>
        </w:rPr>
        <w:t>一、重点课题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．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法治社会建设研究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．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宪法实施监督机制和程序研究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．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行政法实施保障机制研究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．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中国特色轻罪体系建构研究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．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我国建立知识产权法院相关问题研究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6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．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城镇化进程中的法律问题研究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7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．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基本养老保障实现的法律机制研究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8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．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国家空域权问题研究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9.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生态环境保护法律机制研究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10.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中国古代巡视制度变迁及其当代价值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 w:hint="eastAsia"/>
          <w:b/>
          <w:bCs/>
          <w:color w:val="000000"/>
          <w:kern w:val="0"/>
          <w:sz w:val="22"/>
        </w:rPr>
        <w:t xml:space="preserve">　　二、一般课题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11 .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我国法治建设指标体系和考核标准研究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12 .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两岸法律文化与法律价值比较研究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13 .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西部地区法治生态研究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14 .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司法知情权及其限度研究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15 .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廉政立法研究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lastRenderedPageBreak/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16 .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反残疾人歧视立法研究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17 .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法律规范的冲突及解决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18 .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自然法传统与法治的道德基础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19 .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我国边疆法律治理的历史经验考论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20 .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我国选举法相关问题研究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21 .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我国立法公众参与制度研究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22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、我国女性权利保护相关问题研究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23 .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行政审批制度改革中的法律问题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24 .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行政审判体制改革研究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25 .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行政机关裁决民事争议制度构建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26 .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给付行政法原理研究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27 .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我国公共法律服务体系构建研究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28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、我国戒毒制度的完善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29 .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行政诉讼法和行政复议法修改相关问题研究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30 .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暴恐案件的刑事司法对策研究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ind w:firstLine="440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Simsun" w:hAnsi="Simsun" w:cs="宋体"/>
          <w:color w:val="000000"/>
          <w:kern w:val="0"/>
          <w:sz w:val="22"/>
          <w:szCs w:val="22"/>
        </w:rPr>
        <w:t>31 .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期待可能性之理论与实务研究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32 .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未成年犯的危险性评估及矫治对策实证研究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33.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《网络犯罪公约》与我国刑事政策研究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34 .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职务犯罪研究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lastRenderedPageBreak/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35 .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我国社区矫正立法研究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36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、劳动争议处理裁审关系研究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37 .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司法审判中的舆论应对问题研究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38 .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心理测试技术在诉讼中的应用研究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39 .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减刑、假释、保外就医程序的完善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40 .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云端鉴识取证的障碍分析与应对策略研究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41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、律师执业权利保障机制和惩戒制度研究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42 .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中国自贸区相关法律问题研究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43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、公司资本制度改革研究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44 .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多数人侵权行为与责任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45 . P2P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网贷平台风险法律防控机制研究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46.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我国信托登记立法研究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47 .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集合物担保制度研究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48 .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大数据时代用户数据利益的法律保护研究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49 .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安宁权问题研究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50 .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家庭财产保护法律问题研究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51 .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我国信义义务适用范围研究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52 .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电子支付市场法律规制研究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53.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城镇银行法律制度研究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lastRenderedPageBreak/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54 .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民间融资法律规制研究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55 .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财政资金绩效管理的法律规制研究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56.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上海合作组织贸易与投资便利化法律问题研究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57.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国际金融市场的国际私法问题研究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58 .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知识产权国际保护与我国应对研究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59 .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我国节能减排监管机制研究</w:t>
      </w:r>
    </w:p>
    <w:p w:rsidR="00BB5F7F" w:rsidRPr="00C9724E" w:rsidRDefault="00BB5F7F" w:rsidP="00BB5F7F">
      <w:pPr>
        <w:widowControl/>
        <w:shd w:val="clear" w:color="auto" w:fill="FFFFFF"/>
        <w:spacing w:before="100" w:beforeAutospacing="1" w:after="100" w:afterAutospacing="1" w:line="360" w:lineRule="auto"/>
        <w:rPr>
          <w:rFonts w:ascii="Simsun" w:hAnsi="Simsun" w:cs="宋体"/>
          <w:color w:val="4A4A4A"/>
          <w:kern w:val="0"/>
          <w:szCs w:val="21"/>
        </w:rPr>
      </w:pPr>
      <w:r w:rsidRPr="00C9724E">
        <w:rPr>
          <w:rFonts w:ascii="宋体" w:hAnsi="宋体" w:cs="宋体"/>
          <w:color w:val="000000"/>
          <w:kern w:val="0"/>
          <w:sz w:val="22"/>
          <w:szCs w:val="22"/>
        </w:rPr>
        <w:t xml:space="preserve">　　</w:t>
      </w:r>
      <w:r w:rsidRPr="00C9724E">
        <w:rPr>
          <w:rFonts w:ascii="Simsun" w:hAnsi="Simsun" w:cs="宋体"/>
          <w:color w:val="000000"/>
          <w:kern w:val="0"/>
          <w:sz w:val="22"/>
          <w:szCs w:val="22"/>
        </w:rPr>
        <w:t>60 .</w:t>
      </w:r>
      <w:r w:rsidRPr="00C9724E">
        <w:rPr>
          <w:rFonts w:ascii="Simsun" w:hAnsi="Simsun" w:cs="宋体"/>
          <w:color w:val="000000"/>
          <w:kern w:val="0"/>
          <w:sz w:val="22"/>
        </w:rPr>
        <w:t> </w:t>
      </w:r>
      <w:r w:rsidRPr="00C9724E">
        <w:rPr>
          <w:rFonts w:ascii="宋体" w:hAnsi="宋体" w:cs="宋体"/>
          <w:color w:val="000000"/>
          <w:kern w:val="0"/>
          <w:sz w:val="22"/>
          <w:szCs w:val="22"/>
        </w:rPr>
        <w:t>生活废弃物处置法律问题研究</w:t>
      </w:r>
    </w:p>
    <w:p w:rsidR="008E1F3F" w:rsidRPr="00BB5F7F" w:rsidRDefault="008E1F3F"/>
    <w:sectPr w:rsidR="008E1F3F" w:rsidRPr="00BB5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F3F" w:rsidRDefault="008E1F3F" w:rsidP="00BB5F7F">
      <w:r>
        <w:separator/>
      </w:r>
    </w:p>
  </w:endnote>
  <w:endnote w:type="continuationSeparator" w:id="1">
    <w:p w:rsidR="008E1F3F" w:rsidRDefault="008E1F3F" w:rsidP="00BB5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F3F" w:rsidRDefault="008E1F3F" w:rsidP="00BB5F7F">
      <w:r>
        <w:separator/>
      </w:r>
    </w:p>
  </w:footnote>
  <w:footnote w:type="continuationSeparator" w:id="1">
    <w:p w:rsidR="008E1F3F" w:rsidRDefault="008E1F3F" w:rsidP="00BB5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F7F"/>
    <w:rsid w:val="008E1F3F"/>
    <w:rsid w:val="00BB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F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F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F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段梅娟</dc:creator>
  <cp:keywords/>
  <dc:description/>
  <cp:lastModifiedBy>段梅娟</cp:lastModifiedBy>
  <cp:revision>2</cp:revision>
  <dcterms:created xsi:type="dcterms:W3CDTF">2014-09-11T02:03:00Z</dcterms:created>
  <dcterms:modified xsi:type="dcterms:W3CDTF">2014-09-11T02:04:00Z</dcterms:modified>
</cp:coreProperties>
</file>