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tbl>
      <w:tblPr>
        <w:jc w:val="left"/>
        <w:tblW w:w="14469"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746"/>
        <w:gridCol w:w="3912"/>
        <w:gridCol w:w="7357"/>
        <w:gridCol w:w="917"/>
        <w:gridCol w:w="1537"/>
      </w:tblGrid>
      <w:tr>
        <w:trPr>
          <w:trHeight w:val="529"/>
        </w:trPr>
        <w:tc>
          <w:tcPr>
            <w:tcW w:w="14469" w:type="dxa"/>
            <w:gridSpan w:val="5"/>
            <w:tcBorders>
              <w:top w:val="nil"/>
              <w:left w:val="nil"/>
              <w:bottom w:val="nil"/>
              <w:right w:val="nil"/>
              <w:tl2br w:val="nil"/>
              <w:tr2bl w:val="nil"/>
            </w:tcBorders>
            <w:noWrap/>
            <w:vAlign w:val="center"/>
          </w:tcPr>
          <w:p>
            <w:pPr>
              <w:jc w:val="center"/>
              <w:rPr>
                <w:rFonts w:ascii="方正小标宋_GBK" w:eastAsia="方正小标宋_GBK" w:cs="Arial"/>
                <w:color w:val="000000"/>
                <w:sz w:val="32"/>
              </w:rPr>
            </w:pPr>
            <w:r>
              <w:rPr>
                <w:rFonts w:ascii="方正小标宋_GBK" w:eastAsia="方正小标宋_GBK" w:cs="Arial"/>
                <w:color w:val="000000"/>
                <w:sz w:val="32"/>
              </w:rPr>
              <w:t>2025年江苏省统一战线工作研究专项课题选题说明</w:t>
            </w:r>
          </w:p>
        </w:tc>
      </w:tr>
      <w:tr>
        <w:trPr>
          <w:trHeight w:val="689"/>
        </w:trPr>
        <w:tc>
          <w:tcPr>
            <w:tcW w:w="74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方正黑体_GBK" w:eastAsia="方正黑体_GBK" w:cs="Arial"/>
                <w:color w:val="000000"/>
                <w:sz w:val="24"/>
              </w:rPr>
            </w:pPr>
            <w:r>
              <w:rPr>
                <w:rFonts w:ascii="方正黑体_GBK" w:eastAsia="方正黑体_GBK" w:cs="Arial"/>
                <w:color w:val="000000"/>
                <w:sz w:val="24"/>
              </w:rPr>
              <w:t>序号</w:t>
            </w:r>
          </w:p>
        </w:tc>
        <w:tc>
          <w:tcPr>
            <w:tcW w:w="391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方正黑体_GBK" w:eastAsia="方正黑体_GBK" w:cs="Arial"/>
                <w:color w:val="000000"/>
                <w:sz w:val="24"/>
              </w:rPr>
            </w:pPr>
            <w:r>
              <w:rPr>
                <w:rFonts w:ascii="方正黑体_GBK" w:eastAsia="方正黑体_GBK" w:cs="Arial"/>
                <w:color w:val="000000"/>
                <w:sz w:val="24"/>
              </w:rPr>
              <w:t>选题方向</w:t>
            </w:r>
          </w:p>
        </w:tc>
        <w:tc>
          <w:tcPr>
            <w:tcW w:w="735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方正黑体_GBK" w:eastAsia="方正黑体_GBK" w:cs="Arial"/>
                <w:color w:val="000000"/>
                <w:sz w:val="24"/>
              </w:rPr>
            </w:pPr>
            <w:r>
              <w:rPr>
                <w:rFonts w:ascii="方正黑体_GBK" w:eastAsia="方正黑体_GBK" w:cs="Arial"/>
                <w:color w:val="000000"/>
                <w:sz w:val="24"/>
              </w:rPr>
              <w:t>研究内容</w:t>
            </w:r>
          </w:p>
        </w:tc>
        <w:tc>
          <w:tcPr>
            <w:tcW w:w="91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方正黑体_GBK" w:eastAsia="方正黑体_GBK" w:cs="Arial"/>
                <w:color w:val="000000"/>
                <w:sz w:val="24"/>
              </w:rPr>
            </w:pPr>
            <w:r>
              <w:rPr>
                <w:rFonts w:ascii="方正黑体_GBK" w:eastAsia="方正黑体_GBK" w:cs="Arial"/>
                <w:color w:val="000000"/>
                <w:sz w:val="24"/>
              </w:rPr>
              <w:t>课题</w:t>
            </w:r>
          </w:p>
          <w:p>
            <w:pPr>
              <w:jc w:val="center"/>
              <w:rPr>
                <w:rFonts w:ascii="方正黑体_GBK" w:eastAsia="方正黑体_GBK" w:cs="Arial"/>
                <w:color w:val="000000"/>
                <w:sz w:val="24"/>
              </w:rPr>
            </w:pPr>
            <w:r>
              <w:rPr>
                <w:rFonts w:ascii="方正黑体_GBK" w:eastAsia="方正黑体_GBK" w:cs="Arial"/>
                <w:color w:val="000000"/>
                <w:sz w:val="24"/>
              </w:rPr>
              <w:t>类型</w:t>
            </w:r>
          </w:p>
        </w:tc>
        <w:tc>
          <w:tcPr>
            <w:tcW w:w="153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方正黑体_GBK" w:eastAsia="方正黑体_GBK" w:cs="Arial"/>
                <w:color w:val="000000"/>
                <w:sz w:val="24"/>
              </w:rPr>
            </w:pPr>
            <w:r>
              <w:rPr>
                <w:rFonts w:ascii="方正黑体_GBK" w:eastAsia="方正黑体_GBK" w:cs="Arial"/>
                <w:color w:val="000000"/>
                <w:sz w:val="24"/>
              </w:rPr>
              <w:t>经费</w:t>
            </w:r>
          </w:p>
          <w:p>
            <w:pPr>
              <w:jc w:val="center"/>
              <w:rPr>
                <w:rFonts w:ascii="方正黑体_GBK" w:eastAsia="方正黑体_GBK" w:cs="Arial"/>
                <w:color w:val="000000"/>
                <w:sz w:val="24"/>
              </w:rPr>
            </w:pPr>
            <w:r>
              <w:rPr>
                <w:rFonts w:ascii="方正黑体_GBK" w:eastAsia="方正黑体_GBK" w:cs="Arial"/>
                <w:color w:val="000000"/>
                <w:sz w:val="24"/>
              </w:rPr>
              <w:t>（万元）</w:t>
            </w:r>
          </w:p>
        </w:tc>
      </w:tr>
      <w:tr>
        <w:trPr>
          <w:trHeight w:val="1439"/>
        </w:trPr>
        <w:tc>
          <w:tcPr>
            <w:tcW w:w="74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Times New Roman" w:eastAsia="Times New Roman" w:cs="Arial" w:hAnsi="Times New Roman"/>
                <w:color w:val="000000"/>
                <w:sz w:val="20"/>
              </w:rPr>
            </w:pPr>
            <w:r>
              <w:rPr>
                <w:rFonts w:ascii="Times New Roman" w:eastAsia="Times New Roman" w:cs="Arial" w:hAnsi="Times New Roman"/>
                <w:color w:val="000000"/>
                <w:sz w:val="20"/>
              </w:rPr>
              <w:t>1</w:t>
            </w:r>
          </w:p>
        </w:tc>
        <w:tc>
          <w:tcPr>
            <w:tcW w:w="3912" w:type="dxa"/>
            <w:tcBorders>
              <w:top w:val="single" w:sz="6" w:space="0" w:color="auto"/>
              <w:left w:val="single" w:sz="6" w:space="0" w:color="auto"/>
              <w:bottom w:val="single" w:sz="6" w:space="0" w:color="auto"/>
              <w:right w:val="single" w:sz="6" w:space="0" w:color="auto"/>
              <w:tl2br w:val="nil"/>
              <w:tr2bl w:val="nil"/>
            </w:tcBorders>
            <w:noWrap/>
            <w:vAlign w:val="center"/>
          </w:tcPr>
          <w:p>
            <w:pPr>
              <w:ind w:firstLineChars="200" w:firstLine="400"/>
              <w:rPr>
                <w:rFonts w:ascii="方正仿宋_GBK" w:eastAsia="方正仿宋_GBK" w:cs="Arial"/>
                <w:b w:val="0"/>
                <w:i w:val="0"/>
                <w:caps w:val="0"/>
                <w:smallCaps w:val="0"/>
                <w:strike w:val="0"/>
                <w:dstrike w:val="0"/>
                <w:color w:val="000000"/>
                <w:sz w:val="20"/>
                <w:u w:val="none"/>
                <w:vertAlign w:val="baseline"/>
              </w:rPr>
            </w:pPr>
            <w:r>
              <w:rPr>
                <w:rFonts w:ascii="方正仿宋_GBK" w:eastAsia="方正仿宋_GBK" w:cs="Arial"/>
                <w:b w:val="0"/>
                <w:i w:val="0"/>
                <w:caps w:val="0"/>
                <w:smallCaps w:val="0"/>
                <w:strike w:val="0"/>
                <w:dstrike w:val="0"/>
                <w:color w:val="000000"/>
                <w:sz w:val="20"/>
                <w:u w:val="none"/>
                <w:vertAlign w:val="baseline"/>
              </w:rPr>
              <w:t>新时代发挥统一战线凝聚人心、汇聚力量政治作用新情况新问题研究</w:t>
            </w:r>
          </w:p>
        </w:tc>
        <w:tc>
          <w:tcPr>
            <w:tcW w:w="7357" w:type="dxa"/>
            <w:tcBorders>
              <w:top w:val="single" w:sz="6" w:space="0" w:color="auto"/>
              <w:left w:val="single" w:sz="6" w:space="0" w:color="auto"/>
              <w:bottom w:val="single" w:sz="6" w:space="0" w:color="auto"/>
              <w:right w:val="single" w:sz="6" w:space="0" w:color="auto"/>
              <w:tl2br w:val="nil"/>
              <w:tr2bl w:val="nil"/>
            </w:tcBorders>
            <w:noWrap/>
            <w:vAlign w:val="center"/>
          </w:tcPr>
          <w:p>
            <w:pPr>
              <w:ind w:firstLineChars="200" w:firstLine="400"/>
              <w:jc w:val="both"/>
              <w:rPr>
                <w:rFonts w:ascii="方正仿宋_GBK" w:eastAsia="方正仿宋_GBK" w:cs="Arial"/>
                <w:b w:val="0"/>
                <w:i w:val="0"/>
                <w:caps w:val="0"/>
                <w:smallCaps w:val="0"/>
                <w:strike w:val="0"/>
                <w:dstrike w:val="0"/>
                <w:color w:val="000000"/>
                <w:sz w:val="20"/>
                <w:u w:val="none"/>
                <w:vertAlign w:val="baseline"/>
              </w:rPr>
            </w:pPr>
            <w:r>
              <w:rPr>
                <w:rFonts w:ascii="方正仿宋_GBK" w:eastAsia="方正仿宋_GBK" w:cs="Arial"/>
                <w:b w:val="0"/>
                <w:i w:val="0"/>
                <w:caps w:val="0"/>
                <w:smallCaps w:val="0"/>
                <w:strike w:val="0"/>
                <w:dstrike w:val="0"/>
                <w:color w:val="000000"/>
                <w:sz w:val="20"/>
                <w:u w:val="none"/>
                <w:vertAlign w:val="baseline"/>
              </w:rPr>
              <w:t>深入贯彻党的二十届三中全会精神和省委十四届七次全会精神，围绕新时代如何更好发挥统一战线凝聚人心、汇聚力量政治作用，结合推进中国式现代化江苏新实践新形势新任务的深入分析，把握规律性认识，研判趋势性特征，找准关键性问题，为奋力推进中国式现代化江苏新实践汇聚磅礴力量提供重要理论支撑。</w:t>
            </w:r>
          </w:p>
        </w:tc>
        <w:tc>
          <w:tcPr>
            <w:tcW w:w="91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方正仿宋_GBK" w:eastAsia="方正仿宋_GBK" w:cs="Arial"/>
                <w:color w:val="000000"/>
                <w:sz w:val="22"/>
              </w:rPr>
            </w:pPr>
            <w:r>
              <w:rPr>
                <w:rFonts w:ascii="方正仿宋_GBK" w:eastAsia="方正仿宋_GBK" w:cs="Arial"/>
                <w:color w:val="000000"/>
                <w:sz w:val="22"/>
              </w:rPr>
              <w:t>重点</w:t>
            </w:r>
          </w:p>
        </w:tc>
        <w:tc>
          <w:tcPr>
            <w:tcW w:w="153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Times New Roman" w:eastAsia="Times New Roman" w:cs="Arial" w:hAnsi="Times New Roman"/>
                <w:color w:val="000000"/>
                <w:sz w:val="22"/>
              </w:rPr>
            </w:pPr>
            <w:r>
              <w:rPr>
                <w:rFonts w:ascii="Times New Roman" w:eastAsia="Times New Roman" w:cs="Arial" w:hAnsi="Times New Roman"/>
                <w:color w:val="000000"/>
                <w:sz w:val="22"/>
              </w:rPr>
              <w:t>8</w:t>
            </w:r>
          </w:p>
        </w:tc>
      </w:tr>
      <w:tr>
        <w:trPr>
          <w:trHeight w:val="1439"/>
        </w:trPr>
        <w:tc>
          <w:tcPr>
            <w:tcW w:w="74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Times New Roman" w:eastAsia="Times New Roman" w:cs="Arial" w:hAnsi="Times New Roman"/>
                <w:color w:val="000000"/>
                <w:sz w:val="20"/>
              </w:rPr>
            </w:pPr>
            <w:r>
              <w:rPr>
                <w:rFonts w:ascii="Times New Roman" w:eastAsia="Times New Roman" w:cs="Arial" w:hAnsi="Times New Roman"/>
                <w:color w:val="000000"/>
                <w:sz w:val="20"/>
              </w:rPr>
              <w:t>2</w:t>
            </w:r>
          </w:p>
        </w:tc>
        <w:tc>
          <w:tcPr>
            <w:tcW w:w="3912" w:type="dxa"/>
            <w:tcBorders>
              <w:top w:val="single" w:sz="6" w:space="0" w:color="auto"/>
              <w:left w:val="single" w:sz="6" w:space="0" w:color="auto"/>
              <w:bottom w:val="single" w:sz="6" w:space="0" w:color="auto"/>
              <w:right w:val="single" w:sz="6" w:space="0" w:color="auto"/>
              <w:tl2br w:val="nil"/>
              <w:tr2bl w:val="nil"/>
            </w:tcBorders>
            <w:noWrap/>
            <w:vAlign w:val="center"/>
          </w:tcPr>
          <w:p>
            <w:pPr>
              <w:ind w:firstLineChars="200" w:firstLine="400"/>
            </w:pPr>
            <w:r>
              <w:rPr>
                <w:rFonts w:ascii="方正仿宋_GBK" w:eastAsia="方正仿宋_GBK"/>
                <w:strike w:val="0"/>
                <w:dstrike w:val="0"/>
                <w:color w:val="000000"/>
                <w:sz w:val="20"/>
              </w:rPr>
              <w:t>东西部地区构建互嵌式社会结构和社区环境路径比较研究</w:t>
            </w:r>
          </w:p>
        </w:tc>
        <w:tc>
          <w:tcPr>
            <w:tcW w:w="7357" w:type="dxa"/>
            <w:tcBorders>
              <w:top w:val="single" w:sz="6" w:space="0" w:color="auto"/>
              <w:left w:val="single" w:sz="6" w:space="0" w:color="auto"/>
              <w:bottom w:val="single" w:sz="6" w:space="0" w:color="auto"/>
              <w:right w:val="single" w:sz="6" w:space="0" w:color="auto"/>
              <w:tl2br w:val="nil"/>
              <w:tr2bl w:val="nil"/>
            </w:tcBorders>
            <w:noWrap/>
            <w:vAlign w:val="center"/>
          </w:tcPr>
          <w:p>
            <w:pPr>
              <w:ind w:firstLineChars="200" w:firstLine="400"/>
              <w:jc w:val="both"/>
              <w:rPr>
                <w:rFonts w:ascii="方正仿宋_GBK" w:eastAsia="方正仿宋_GBK" w:cs="Arial"/>
                <w:color w:val="000000"/>
                <w:sz w:val="20"/>
              </w:rPr>
            </w:pPr>
            <w:r>
              <w:rPr>
                <w:rFonts w:ascii="方正仿宋_GBK" w:eastAsia="方正仿宋_GBK"/>
                <w:color w:val="000000"/>
                <w:sz w:val="20"/>
              </w:rPr>
              <w:t>以江苏等地为例，通过比较分析东西部地区在实现各民族在空间、文化、经济、社会、心理等方面的全方位嵌入的具体路径，为构建互嵌式社会结构和社区环境提供理论支撑和实践依据，深入推动各民族交往交流交融，铸牢中华民族共同体意识</w:t>
            </w:r>
            <w:r>
              <w:rPr>
                <w:rFonts w:ascii="方正仿宋_GBK" w:eastAsia="方正仿宋_GBK" w:cs="Arial"/>
                <w:color w:val="000000"/>
                <w:sz w:val="20"/>
              </w:rPr>
              <w:t>。</w:t>
            </w:r>
          </w:p>
        </w:tc>
        <w:tc>
          <w:tcPr>
            <w:tcW w:w="91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方正仿宋_GBK" w:eastAsia="方正仿宋_GBK" w:cs="Arial"/>
                <w:color w:val="000000"/>
                <w:sz w:val="22"/>
              </w:rPr>
            </w:pPr>
            <w:r>
              <w:rPr>
                <w:rFonts w:ascii="方正仿宋_GBK" w:eastAsia="方正仿宋_GBK" w:cs="Arial"/>
                <w:color w:val="000000"/>
                <w:sz w:val="22"/>
              </w:rPr>
              <w:t>一般</w:t>
            </w:r>
          </w:p>
        </w:tc>
        <w:tc>
          <w:tcPr>
            <w:tcW w:w="153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Times New Roman" w:eastAsia="Times New Roman" w:cs="Arial" w:hAnsi="Times New Roman"/>
                <w:color w:val="000000"/>
                <w:sz w:val="22"/>
              </w:rPr>
            </w:pPr>
            <w:r>
              <w:rPr>
                <w:rFonts w:ascii="Times New Roman" w:eastAsia="Times New Roman" w:cs="Arial" w:hAnsi="Times New Roman"/>
                <w:color w:val="000000"/>
                <w:sz w:val="22"/>
              </w:rPr>
              <w:t>6</w:t>
            </w:r>
          </w:p>
        </w:tc>
      </w:tr>
      <w:tr>
        <w:trPr>
          <w:trHeight w:val="1439"/>
        </w:trPr>
        <w:tc>
          <w:tcPr>
            <w:tcW w:w="74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Times New Roman" w:eastAsia="Times New Roman" w:cs="Arial" w:hAnsi="Times New Roman"/>
                <w:color w:val="000000"/>
                <w:sz w:val="20"/>
              </w:rPr>
            </w:pPr>
            <w:r>
              <w:rPr>
                <w:rFonts w:ascii="Times New Roman" w:eastAsia="Times New Roman" w:cs="Arial" w:hAnsi="Times New Roman"/>
                <w:color w:val="000000"/>
                <w:sz w:val="20"/>
              </w:rPr>
              <w:t>3</w:t>
            </w:r>
          </w:p>
        </w:tc>
        <w:tc>
          <w:tcPr>
            <w:tcW w:w="3912" w:type="dxa"/>
            <w:tcBorders>
              <w:top w:val="single" w:sz="6" w:space="0" w:color="auto"/>
              <w:left w:val="single" w:sz="6" w:space="0" w:color="auto"/>
              <w:bottom w:val="single" w:sz="6" w:space="0" w:color="auto"/>
              <w:right w:val="single" w:sz="6" w:space="0" w:color="auto"/>
              <w:tl2br w:val="nil"/>
              <w:tr2bl w:val="nil"/>
            </w:tcBorders>
            <w:noWrap/>
            <w:vAlign w:val="center"/>
          </w:tcPr>
          <w:p>
            <w:pPr>
              <w:ind w:firstLineChars="200" w:firstLine="400"/>
              <w:rPr>
                <w:rFonts w:ascii="方正仿宋_GBK" w:eastAsia="方正仿宋_GBK" w:cs="Arial"/>
                <w:color w:val="000000"/>
                <w:sz w:val="20"/>
              </w:rPr>
            </w:pPr>
            <w:r>
              <w:rPr>
                <w:rFonts w:ascii="方正仿宋_GBK" w:eastAsia="方正仿宋_GBK" w:cs="Arial"/>
                <w:color w:val="000000"/>
                <w:sz w:val="20"/>
              </w:rPr>
              <w:t>新的社会阶层人士统战工作理论体系构建研究</w:t>
            </w:r>
          </w:p>
        </w:tc>
        <w:tc>
          <w:tcPr>
            <w:tcW w:w="7357" w:type="dxa"/>
            <w:tcBorders>
              <w:top w:val="single" w:sz="6" w:space="0" w:color="auto"/>
              <w:left w:val="single" w:sz="6" w:space="0" w:color="auto"/>
              <w:bottom w:val="single" w:sz="6" w:space="0" w:color="auto"/>
              <w:right w:val="single" w:sz="6" w:space="0" w:color="auto"/>
              <w:tl2br w:val="nil"/>
              <w:tr2bl w:val="nil"/>
            </w:tcBorders>
            <w:noWrap/>
            <w:vAlign w:val="center"/>
          </w:tcPr>
          <w:p>
            <w:pPr>
              <w:ind w:firstLineChars="200" w:firstLine="400"/>
            </w:pPr>
            <w:r>
              <w:rPr>
                <w:rFonts w:ascii="方正仿宋_GBK" w:eastAsia="方正仿宋_GBK"/>
                <w:strike w:val="0"/>
                <w:dstrike w:val="0"/>
                <w:color w:val="000000"/>
                <w:sz w:val="20"/>
              </w:rPr>
              <w:t>深入贯彻习近平总书记关于“新的社会阶层人士是中国特色社会主义事业的建设者，要把他们组织起来，加强引导、发挥作用”的重要论述精神，从时代定位、功能价值、逻辑机理、方法路径、鲜明标识等方面提出系统构建新的社会阶层人士统战工作理论体系的思路观点，为引导江苏</w:t>
            </w:r>
            <w:r>
              <w:rPr>
                <w:rFonts w:ascii="Times New Roman" w:hAnsi="Times New Roman"/>
                <w:strike w:val="0"/>
                <w:dstrike w:val="0"/>
                <w:color w:val="000000"/>
                <w:sz w:val="20"/>
              </w:rPr>
              <w:t>780</w:t>
            </w:r>
            <w:r>
              <w:rPr>
                <w:rFonts w:ascii="方正仿宋_GBK" w:eastAsia="方正仿宋_GBK"/>
                <w:strike w:val="0"/>
                <w:dstrike w:val="0"/>
                <w:color w:val="000000"/>
                <w:sz w:val="20"/>
              </w:rPr>
              <w:t>多万新的社会阶层人士聚焦服务中国式现代化，扛起“建设者”担当，发挥“建设力”作用夯实理论基础。</w:t>
            </w:r>
          </w:p>
        </w:tc>
        <w:tc>
          <w:tcPr>
            <w:tcW w:w="91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方正仿宋_GBK" w:eastAsia="方正仿宋_GBK" w:cs="Arial"/>
                <w:color w:val="000000"/>
                <w:sz w:val="22"/>
              </w:rPr>
            </w:pPr>
            <w:r>
              <w:rPr>
                <w:rFonts w:ascii="方正仿宋_GBK" w:eastAsia="方正仿宋_GBK" w:cs="Arial"/>
                <w:color w:val="000000"/>
                <w:sz w:val="22"/>
              </w:rPr>
              <w:t>一般</w:t>
            </w:r>
          </w:p>
        </w:tc>
        <w:tc>
          <w:tcPr>
            <w:tcW w:w="153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Times New Roman" w:eastAsia="Times New Roman" w:cs="Arial" w:hAnsi="Times New Roman"/>
                <w:color w:val="000000"/>
                <w:sz w:val="22"/>
              </w:rPr>
            </w:pPr>
            <w:r>
              <w:rPr>
                <w:rFonts w:ascii="Times New Roman" w:eastAsia="Times New Roman" w:cs="Arial" w:hAnsi="Times New Roman"/>
                <w:color w:val="000000"/>
                <w:sz w:val="22"/>
              </w:rPr>
              <w:t>6</w:t>
            </w:r>
          </w:p>
        </w:tc>
      </w:tr>
      <w:tr>
        <w:trPr>
          <w:trHeight w:val="1519"/>
        </w:trPr>
        <w:tc>
          <w:tcPr>
            <w:tcW w:w="74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Times New Roman" w:eastAsia="Times New Roman" w:cs="Arial" w:hAnsi="Times New Roman"/>
                <w:color w:val="000000"/>
                <w:sz w:val="20"/>
              </w:rPr>
            </w:pPr>
            <w:r>
              <w:rPr>
                <w:rFonts w:ascii="Times New Roman" w:eastAsia="Times New Roman" w:cs="Arial" w:hAnsi="Times New Roman"/>
                <w:color w:val="000000"/>
                <w:sz w:val="20"/>
              </w:rPr>
              <w:t>4</w:t>
            </w:r>
          </w:p>
        </w:tc>
        <w:tc>
          <w:tcPr>
            <w:tcW w:w="3912" w:type="dxa"/>
            <w:tcBorders>
              <w:top w:val="single" w:sz="6" w:space="0" w:color="auto"/>
              <w:left w:val="single" w:sz="6" w:space="0" w:color="auto"/>
              <w:bottom w:val="single" w:sz="6" w:space="0" w:color="auto"/>
              <w:right w:val="single" w:sz="6" w:space="0" w:color="auto"/>
              <w:tl2br w:val="nil"/>
              <w:tr2bl w:val="nil"/>
            </w:tcBorders>
            <w:noWrap/>
            <w:vAlign w:val="center"/>
          </w:tcPr>
          <w:p>
            <w:pPr>
              <w:ind w:firstLineChars="200" w:firstLine="400"/>
              <w:rPr>
                <w:rFonts w:ascii="方正仿宋_GBK" w:eastAsia="方正仿宋_GBK" w:cs="Arial"/>
                <w:color w:val="000000"/>
                <w:sz w:val="20"/>
              </w:rPr>
            </w:pPr>
            <w:r>
              <w:rPr>
                <w:rFonts w:ascii="方正仿宋_GBK" w:eastAsia="方正仿宋_GBK" w:cs="Arial"/>
                <w:color w:val="000000"/>
                <w:sz w:val="20"/>
              </w:rPr>
              <w:t>健全江苏民营经济人士思想政治引领机制研究</w:t>
            </w:r>
          </w:p>
        </w:tc>
        <w:tc>
          <w:tcPr>
            <w:tcW w:w="7357" w:type="dxa"/>
            <w:tcBorders>
              <w:top w:val="single" w:sz="6" w:space="0" w:color="auto"/>
              <w:left w:val="single" w:sz="6" w:space="0" w:color="auto"/>
              <w:bottom w:val="single" w:sz="6" w:space="0" w:color="auto"/>
              <w:right w:val="single" w:sz="6" w:space="0" w:color="auto"/>
              <w:tl2br w:val="nil"/>
              <w:tr2bl w:val="nil"/>
            </w:tcBorders>
            <w:noWrap/>
            <w:vAlign w:val="center"/>
          </w:tcPr>
          <w:p>
            <w:pPr>
              <w:ind w:firstLineChars="200" w:firstLine="400"/>
              <w:jc w:val="both"/>
              <w:rPr>
                <w:rFonts w:ascii="方正仿宋_GBK" w:eastAsia="方正仿宋_GBK" w:cs="Arial"/>
                <w:color w:val="000000"/>
                <w:sz w:val="20"/>
              </w:rPr>
            </w:pPr>
            <w:r>
              <w:rPr>
                <w:rFonts w:ascii="方正仿宋_GBK" w:eastAsia="方正仿宋_GBK" w:cs="Arial"/>
                <w:color w:val="000000"/>
                <w:sz w:val="20"/>
              </w:rPr>
              <w:t>围绕贯彻党的二十届三中全会精神，贯彻习近平总书记对江苏工作重要讲话精神，聚焦统战工作思想政治引领主责主业，引导江苏广大民营经济人士认清发展大势、把准政策机遇，坚定信心、稳固预期，坚定做中国特色社会主义的建设者、中国式现代化的促进者，从强化民营经济人士理想信念教育、弘扬企业家精神、加强舆论引导、健全民营经济人士意见诉求全程响应和闭环解决机制、尊重、维护和照顾同盟者利益等方面提出健全江苏民营经济人士政治引领机制的政策举措。</w:t>
            </w:r>
          </w:p>
        </w:tc>
        <w:tc>
          <w:tcPr>
            <w:tcW w:w="91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方正仿宋_GBK" w:eastAsia="方正仿宋_GBK" w:cs="Arial"/>
                <w:color w:val="000000"/>
                <w:sz w:val="22"/>
              </w:rPr>
            </w:pPr>
            <w:r>
              <w:rPr>
                <w:rFonts w:ascii="方正仿宋_GBK" w:eastAsia="方正仿宋_GBK" w:cs="Arial"/>
                <w:color w:val="000000"/>
                <w:sz w:val="22"/>
              </w:rPr>
              <w:t>一般</w:t>
            </w:r>
          </w:p>
        </w:tc>
        <w:tc>
          <w:tcPr>
            <w:tcW w:w="153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Times New Roman" w:eastAsia="Times New Roman" w:cs="Arial" w:hAnsi="Times New Roman"/>
                <w:color w:val="000000"/>
                <w:sz w:val="22"/>
              </w:rPr>
            </w:pPr>
            <w:r>
              <w:rPr>
                <w:rFonts w:ascii="Times New Roman" w:eastAsia="Times New Roman" w:cs="Arial" w:hAnsi="Times New Roman"/>
                <w:color w:val="000000"/>
                <w:sz w:val="22"/>
              </w:rPr>
              <w:t>6</w:t>
            </w:r>
            <w:bookmarkStart w:id="0" w:name="_GoBack"/>
            <w:bookmarkEnd w:id="0"/>
          </w:p>
        </w:tc>
      </w:tr>
    </w:tbl>
    <w:p/>
    <w:sectPr>
      <w:pgSz w:w="16838" w:h="11906" w:orient="landscape"/>
      <w:pgMar w:top="1800" w:right="1440" w:bottom="1800" w:left="144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00" w:usb3="00000000" w:csb0="00040000" w:csb1="00000000"/>
  </w:font>
  <w:font w:name="Arial">
    <w:panose1 w:val="020B0604020202020204"/>
    <w:charset w:val="00"/>
    <w:family w:val="auto"/>
    <w:pitch w:val="variable"/>
    <w:sig w:usb0="00007A87" w:usb1="80000000" w:usb2="00000008" w:usb3="00000000" w:csb0="400001FF" w:csb1="FFFF0000"/>
  </w:font>
  <w:font w:name="方正黑体_GBK">
    <w:panose1 w:val="03000509000000000000"/>
    <w:charset w:val="86"/>
    <w:family w:val="script"/>
    <w:pitch w:val="variable"/>
    <w:sig w:usb0="00000001" w:usb1="080E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方正仿宋_GBK">
    <w:panose1 w:val="03000509000000000000"/>
    <w:charset w:val="86"/>
    <w:family w:val="script"/>
    <w:pitch w:val="variable"/>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pPr>
      <w:widowControl w:val="0"/>
      <w:jc w:val="both"/>
    </w:pPr>
    <w:rPr>
      <w:rFonts w:ascii="Calibri" w:eastAsia="宋体" w:cs="Arial" w:hAnsi="Calibri"/>
      <w:bCs/>
      <w:kern w:val="2"/>
      <w:sz w:val="21"/>
      <w:szCs w:val="22"/>
      <w:lang w:val="en-US" w:eastAsia="zh-CN" w:bidi="ar-SA"/>
    </w:rPr>
  </w:style>
  <w:style w:type="paragraph" w:styleId="1">
    <w:name w:val="heading 1"/>
    <w:qFormat/>
    <w:basedOn w:val="0"/>
    <w:next w:val="0"/>
    <w:pPr>
      <w:keepNext/>
      <w:keepLines/>
      <w:widowControl w:val="0"/>
      <w:spacing w:before="340" w:after="330" w:line="578" w:lineRule="auto"/>
      <w:outlineLvl w:val="0"/>
    </w:pPr>
    <w:rPr>
      <w:b/>
      <w:bCs/>
      <w:kern w:val="44"/>
      <w:sz w:val="44"/>
    </w:rPr>
  </w:style>
  <w:style w:type="paragraph" w:styleId="2">
    <w:name w:val="heading 2"/>
    <w:qFormat/>
    <w:basedOn w:val="0"/>
    <w:next w:val="0"/>
    <w:pPr>
      <w:keepNext/>
      <w:keepLines/>
      <w:widowControl w:val="0"/>
      <w:spacing w:before="260" w:after="260" w:line="415" w:lineRule="auto"/>
      <w:outlineLvl w:val="1"/>
    </w:pPr>
    <w:rPr>
      <w:rFonts w:ascii="Times New Roman" w:eastAsia="黑体" w:hAnsi="Times New Roman"/>
      <w:b/>
      <w:sz w:val="32"/>
    </w:rPr>
  </w:style>
  <w:style w:type="paragraph" w:styleId="3">
    <w:name w:val="heading 3"/>
    <w:qFormat/>
    <w:basedOn w:val="0"/>
    <w:next w:val="0"/>
    <w:pPr>
      <w:keepNext/>
      <w:keepLines/>
      <w:widowControl w:val="0"/>
      <w:spacing w:before="260" w:after="260" w:line="415" w:lineRule="auto"/>
      <w:outlineLvl w:val="2"/>
    </w:pPr>
    <w:rPr>
      <w:b/>
      <w:sz w:val="32"/>
    </w:rPr>
  </w:style>
  <w:style w:type="character" w:default="1" w:styleId="10">
    <w:name w:val="Default Paragraph Font"/>
    <w:qFormat/>
  </w:style>
  <w:style w:type="paragraph" w:styleId="15">
    <w:name w:val="header"/>
    <w:qFormat/>
    <w:basedOn w:val="0"/>
    <w:pPr>
      <w:pBdr>
        <w:bottom w:val="single" w:sz="6" w:space="1" w:color="auto"/>
      </w:pBdr>
      <w:tabs>
        <w:tab w:val="center" w:pos="4153"/>
        <w:tab w:val="right" w:pos="8306"/>
      </w:tabs>
      <w:snapToGrid w:val="0"/>
      <w:jc w:val="center"/>
    </w:pPr>
    <w:rPr>
      <w:sz w:val="18"/>
      <w:szCs w:val="18"/>
    </w:rPr>
  </w:style>
  <w:style w:type="paragraph" w:styleId="16">
    <w:name w:val="footer"/>
    <w:qFormat/>
    <w:basedOn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8</TotalTime>
  <Application>Yozo_Office27021597764231180</Application>
  <Pages>2</Pages>
  <Words>0</Words>
  <Characters>617</Characters>
  <Lines>0</Lines>
  <Paragraphs>2</Paragraphs>
  <CharactersWithSpaces>823</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Administrator</cp:lastModifiedBy>
  <cp:revision>2</cp:revision>
  <dcterms:created xsi:type="dcterms:W3CDTF">2020-07-15T10:51:00Z</dcterms:created>
  <dcterms:modified xsi:type="dcterms:W3CDTF">2025-03-26T10:16:16Z</dcterms:modified>
</cp:coreProperties>
</file>