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82" w:rsidRPr="001F1482" w:rsidRDefault="001F1482" w:rsidP="001F14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1482">
        <w:rPr>
          <w:rFonts w:ascii="microsoft yahei" w:eastAsia="宋体" w:hAnsi="microsoft yahei" w:cs="宋体"/>
          <w:color w:val="B81B45"/>
          <w:kern w:val="0"/>
          <w:sz w:val="30"/>
          <w:szCs w:val="30"/>
          <w:bdr w:val="none" w:sz="0" w:space="0" w:color="auto" w:frame="1"/>
          <w:shd w:val="clear" w:color="auto" w:fill="FFFFFF"/>
        </w:rPr>
        <w:t>第八届钱端升法学研究成果奖申报工作的通知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“钱端升法学研究成果奖”（简称“钱端升奖”）是中国政法大学倡议设立的全国性法学研究奖项，旨在纪念钱端升先生对我国法学研究的重大贡献，促进法学研究繁荣发展，推动国家法治建设。根据全国普通高校社科统计年报有关奖励认定办法的规定，教育部将钱端升奖认定为“部级奖”，国家统计局据此也将钱端升奖列入部级成果奖的统计范围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根据《钱端升法学研究成果奖励办法》的规定，2020年举行第八届评奖活动。现将申报工作的有关事项通知如下：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一、奖励等级和数额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一等奖，每项奖金10万元；二等奖，每项奖金3万元；三等奖，每项奖金1万元和提名奖。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二、申报范围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（一）申报人范围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凡普通高校教师，法学研究机构研究人员，国家立法、行政和司法机关及社会法律服务机构的法律工作者均可申报。每人限报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1项。合作研究成果须由第一署名人申报。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（二）申报成果范围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1.成果类型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1）学术专著（不包括教材、工具书、译著、普及读物、古籍整理作品和论文集）；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2）学术论文（不包括译文）；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3）研究咨询报告（被省、部级以上党政部门采用）。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2.时间范围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2008年1月1日至2017年12月31日</w:t>
      </w: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在国内外公开出版或发表的学术专著或论文（以版权页为准），研究咨询报告不受此时间下限限制。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3.申报成果的要求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1）多卷本学术专著以最后一卷出齐的时间为准，</w:t>
      </w:r>
      <w:proofErr w:type="gramStart"/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须整体</w:t>
      </w:r>
      <w:proofErr w:type="gramEnd"/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申报。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2）丛书不能整体申报，只能以其中独立完整的专著单独申报。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3）以同一标题发表于同一刊物的系列论文，可作为论文类成果整体申报；但围绕一个专题，发表时标题各不相同的系列论文，不能整体申报，只能选择单篇论文申报。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4）研究咨询报告，须提交省部级以上党政机关（含中共中央、全国人大、国务院、最高人民法院、最高人民检察院、国务院各部委以及各省、自治区、直辖市党委和人民政府）的采纳证明，或者省部级以上级别领导批示的复印件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4.下列成果不予受理：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1）著作权存在争议；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2）违反学术规范；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3）成果作者非第一署名人；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（4）已经申报过往届钱端升奖的研究成果；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5）钱端升法学研究成果奖励委员会成员的成果。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三、申报办法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（一）申报者请登陆中国政法大</w:t>
      </w:r>
      <w:proofErr w:type="gramStart"/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学校园网钱奖</w:t>
      </w:r>
      <w:proofErr w:type="gramEnd"/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专题网站（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http://kyc.cupl.edu.cn/qrsfxyjcg/sy.htm）、中国高校人文社会科学信息网（http://www.sinoss.net）查询和下载《申报通知》、《申请评审书》及相关材料。按要求填写后，由所在单位科研管理部门或办公室签署意见并加盖公章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（二）各普通高等学校教师，由学校科研管理部门统一组织申报，学校科研管理部门汇总后同时报送《钱端升法学研究成果奖申报一览表》。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（三）法学研究机构，国家立法、行政和司法机关及社会法律服务机构的申报者，按要求在《钱端升法学研究成果奖申请评审书》上签署单位意见并加盖公章后，连同《钱端升法学研究成果奖申报一览表》，可自行报送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四、申报材料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1. 《钱端升法学研究成果奖申请评审书》1份（A4纸打印，加盖本单位科研管理部门或办公室公章）、《钱端升法学研究成果奖申报一览表》1份。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2. 《钱端升法学研究成果奖申请评审书》、《钱端升法学研究成果奖申报一览表》（Word版），请用电子邮件发送至：qianduanshengjiang@cupl.edu.cn。发送邮件的主题和文件名请标明：“xx单位 第八届钱端升奖申报材料”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3. 专著3册（套），每册在封面用不干胶标明申请人姓名和单位。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4. 论文3份（其中必须提供一份原件），两份复印件（包括刊物封面、目录、全文、版权页）。在封面用不干胶标明申请人姓名和单位。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5. 研究咨询报告3份（套），同时报送采纳证明复印件。在封面用不干胶标明申请人姓名和单位。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6.申报成果无论获奖与否，不再退还。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五、申报和联系方式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（一）申报受理时间：</w:t>
      </w:r>
      <w:r w:rsidRPr="001F1482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2020年7月25日至9月25日（逾期不予受理）。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（二）申报方式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lastRenderedPageBreak/>
        <w:t>1.邮寄：</w:t>
      </w:r>
      <w:r w:rsidRPr="001F148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2020年9月25日截止（以邮戳日期为准）。请挂号寄至：北京市昌平区府学路27号，中国政法大学科研处 谭瑾收。邮编：102249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2.直接报送:</w:t>
      </w:r>
      <w:r w:rsidRPr="001F1482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9月21日－</w:t>
      </w:r>
      <w:r w:rsidRPr="001F148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25日</w:t>
      </w:r>
      <w:r w:rsidRPr="001F148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受理申报地点：北京市昌平区府学路27号中国政法大学办公楼A502室。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（三）联系方式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联系人：谭瑾</w:t>
      </w:r>
      <w:r w:rsidRPr="001F148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010—58909656 15801293317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闫立宇</w:t>
      </w:r>
      <w:r w:rsidRPr="001F148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010-58909103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传</w:t>
      </w:r>
      <w:r w:rsidRPr="001F148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真：</w:t>
      </w: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010－58909105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钱</w:t>
      </w:r>
      <w:proofErr w:type="gramStart"/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奖材料</w:t>
      </w:r>
      <w:proofErr w:type="gramEnd"/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报送专用邮箱:qianduanshengjiang@cupl.edu.cn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64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127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FangSong_GB2312" w:eastAsia="FangSong_GB2312" w:hAnsi="FangSong_GB2312" w:cs="Helvetica" w:hint="eastAsia"/>
          <w:color w:val="000000"/>
          <w:kern w:val="0"/>
          <w:sz w:val="32"/>
          <w:szCs w:val="32"/>
          <w:bdr w:val="none" w:sz="0" w:space="0" w:color="auto" w:frame="1"/>
        </w:rPr>
        <w:t>钱端升法学研究成果奖励基金理事会、奖励办公室</w:t>
      </w:r>
    </w:p>
    <w:p w:rsidR="001F1482" w:rsidRPr="001F1482" w:rsidRDefault="001F1482" w:rsidP="001F1482">
      <w:pPr>
        <w:widowControl/>
        <w:shd w:val="clear" w:color="auto" w:fill="FFFFFF"/>
        <w:spacing w:line="525" w:lineRule="atLeast"/>
        <w:ind w:left="300" w:right="300" w:firstLine="5115"/>
        <w:jc w:val="left"/>
        <w:textAlignment w:val="baseline"/>
        <w:rPr>
          <w:rFonts w:ascii="inherit" w:eastAsia="宋体" w:hAnsi="inherit" w:cs="Helvetica"/>
          <w:color w:val="222222"/>
          <w:kern w:val="0"/>
          <w:sz w:val="29"/>
          <w:szCs w:val="29"/>
        </w:rPr>
      </w:pPr>
      <w:r w:rsidRPr="001F1482">
        <w:rPr>
          <w:rFonts w:ascii="仿宋" w:eastAsia="仿宋" w:hAnsi="仿宋" w:cs="Helvetica" w:hint="eastAsia"/>
          <w:color w:val="000000"/>
          <w:kern w:val="0"/>
          <w:sz w:val="32"/>
          <w:szCs w:val="32"/>
          <w:bdr w:val="none" w:sz="0" w:space="0" w:color="auto" w:frame="1"/>
        </w:rPr>
        <w:t>2020年7月20日</w:t>
      </w:r>
    </w:p>
    <w:p w:rsidR="00980F1A" w:rsidRDefault="00980F1A">
      <w:bookmarkStart w:id="0" w:name="_GoBack"/>
      <w:bookmarkEnd w:id="0"/>
    </w:p>
    <w:sectPr w:rsidR="00980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88"/>
    <w:rsid w:val="001F1482"/>
    <w:rsid w:val="00226188"/>
    <w:rsid w:val="00980F1A"/>
    <w:rsid w:val="00C4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entertitle01">
    <w:name w:val="center_title_01"/>
    <w:basedOn w:val="a0"/>
    <w:rsid w:val="001F1482"/>
  </w:style>
  <w:style w:type="paragraph" w:styleId="a3">
    <w:name w:val="Normal (Web)"/>
    <w:basedOn w:val="a"/>
    <w:uiPriority w:val="99"/>
    <w:semiHidden/>
    <w:unhideWhenUsed/>
    <w:rsid w:val="001F14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1482"/>
    <w:rPr>
      <w:b/>
      <w:bCs/>
    </w:rPr>
  </w:style>
  <w:style w:type="character" w:customStyle="1" w:styleId="apple-converted-space">
    <w:name w:val="apple-converted-space"/>
    <w:basedOn w:val="a0"/>
    <w:rsid w:val="001F1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entertitle01">
    <w:name w:val="center_title_01"/>
    <w:basedOn w:val="a0"/>
    <w:rsid w:val="001F1482"/>
  </w:style>
  <w:style w:type="paragraph" w:styleId="a3">
    <w:name w:val="Normal (Web)"/>
    <w:basedOn w:val="a"/>
    <w:uiPriority w:val="99"/>
    <w:semiHidden/>
    <w:unhideWhenUsed/>
    <w:rsid w:val="001F14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1482"/>
    <w:rPr>
      <w:b/>
      <w:bCs/>
    </w:rPr>
  </w:style>
  <w:style w:type="character" w:customStyle="1" w:styleId="apple-converted-space">
    <w:name w:val="apple-converted-space"/>
    <w:basedOn w:val="a0"/>
    <w:rsid w:val="001F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吕晔灵</dc:creator>
  <cp:keywords/>
  <dc:description/>
  <cp:lastModifiedBy>吕晔灵</cp:lastModifiedBy>
  <cp:revision>2</cp:revision>
  <dcterms:created xsi:type="dcterms:W3CDTF">2020-08-07T06:24:00Z</dcterms:created>
  <dcterms:modified xsi:type="dcterms:W3CDTF">2020-08-07T06:26:00Z</dcterms:modified>
</cp:coreProperties>
</file>