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20E3DE">
      <w:pPr>
        <w:spacing w:line="660" w:lineRule="exact"/>
        <w:rPr>
          <w:rFonts w:ascii="Times New Roman" w:hAnsi="Times New Roman" w:eastAsia="方正黑体_GBK" w:cs="Times New Roman"/>
          <w:sz w:val="32"/>
          <w:szCs w:val="32"/>
        </w:rPr>
      </w:pPr>
      <w:bookmarkStart w:id="15" w:name="_GoBack"/>
      <w:bookmarkEnd w:id="15"/>
      <w:r>
        <w:rPr>
          <w:rFonts w:ascii="Times New Roman" w:hAnsi="Times New Roman" w:eastAsia="方正黑体_GBK" w:cs="Times New Roman"/>
          <w:sz w:val="32"/>
          <w:szCs w:val="32"/>
        </w:rPr>
        <w:t>附件</w:t>
      </w:r>
    </w:p>
    <w:p w14:paraId="104F729E">
      <w:pPr>
        <w:spacing w:line="660" w:lineRule="exact"/>
        <w:jc w:val="center"/>
        <w:rPr>
          <w:rFonts w:ascii="Times New Roman" w:hAnsi="Times New Roman" w:eastAsia="方正小标宋_GBK" w:cs="Times New Roman"/>
          <w:sz w:val="44"/>
          <w:szCs w:val="36"/>
        </w:rPr>
      </w:pPr>
    </w:p>
    <w:p w14:paraId="4B5196DC">
      <w:pPr>
        <w:spacing w:line="660" w:lineRule="exact"/>
        <w:jc w:val="center"/>
        <w:rPr>
          <w:rFonts w:ascii="Times New Roman" w:hAnsi="Times New Roman" w:eastAsia="方正小标宋_GBK" w:cs="Times New Roman"/>
          <w:sz w:val="44"/>
          <w:szCs w:val="36"/>
        </w:rPr>
      </w:pPr>
      <w:r>
        <w:rPr>
          <w:rFonts w:ascii="Times New Roman" w:hAnsi="Times New Roman" w:eastAsia="方正小标宋_GBK" w:cs="Times New Roman"/>
          <w:sz w:val="44"/>
          <w:szCs w:val="36"/>
        </w:rPr>
        <w:t>2025年度南京市软科学研究项目申报指南</w:t>
      </w:r>
    </w:p>
    <w:p w14:paraId="4617111E">
      <w:pPr>
        <w:spacing w:line="560" w:lineRule="exact"/>
        <w:ind w:firstLine="640" w:firstLineChars="200"/>
        <w:rPr>
          <w:rFonts w:ascii="Times New Roman" w:hAnsi="Times New Roman" w:eastAsia="方正黑体_GBK" w:cs="Times New Roman"/>
          <w:sz w:val="32"/>
          <w:szCs w:val="32"/>
        </w:rPr>
      </w:pPr>
    </w:p>
    <w:p w14:paraId="5EFA5EE3">
      <w:pPr>
        <w:spacing w:line="560" w:lineRule="exact"/>
        <w:ind w:firstLine="640" w:firstLineChars="200"/>
        <w:rPr>
          <w:rFonts w:ascii="Times New Roman" w:hAnsi="Times New Roman" w:eastAsia="方正仿宋_GBK" w:cs="Times New Roman"/>
          <w:sz w:val="32"/>
          <w:szCs w:val="32"/>
        </w:rPr>
      </w:pPr>
      <w:r>
        <w:rPr>
          <w:rFonts w:ascii="Times New Roman" w:hAnsi="Times New Roman" w:eastAsia="方正黑体_GBK" w:cs="Times New Roman"/>
          <w:sz w:val="32"/>
          <w:szCs w:val="32"/>
        </w:rPr>
        <w:t>一、重点项目</w:t>
      </w:r>
    </w:p>
    <w:p w14:paraId="4CC4CE1A">
      <w:pPr>
        <w:spacing w:line="600" w:lineRule="exact"/>
        <w:ind w:firstLine="640" w:firstLineChars="200"/>
        <w:rPr>
          <w:rFonts w:ascii="Times New Roman" w:hAnsi="Times New Roman" w:eastAsia="方正黑体_GBK" w:cs="Times New Roman"/>
          <w:sz w:val="32"/>
          <w:szCs w:val="32"/>
        </w:rPr>
      </w:pPr>
      <w:r>
        <w:rPr>
          <w:rFonts w:ascii="Times New Roman" w:hAnsi="Times New Roman" w:eastAsia="方正黑体_GBK" w:cs="Times New Roman"/>
          <w:sz w:val="32"/>
          <w:szCs w:val="32"/>
        </w:rPr>
        <w:t>6001：南京教育科技人才一体化改革试验示范机制研究</w:t>
      </w:r>
    </w:p>
    <w:p w14:paraId="3523A878">
      <w:pPr>
        <w:spacing w:line="6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研究内容：总结南京教育、科技、人才三大方面改革经验，剖析存在问题及其深层次原因，选择1-2个科教产业富集的区域开展案例研究，提出现实可行的教育科技人才一体化改革试验示范机制。</w:t>
      </w:r>
    </w:p>
    <w:p w14:paraId="68DC8C33">
      <w:pPr>
        <w:spacing w:line="600" w:lineRule="exact"/>
        <w:ind w:firstLine="640" w:firstLineChars="200"/>
        <w:rPr>
          <w:rFonts w:ascii="Times New Roman" w:hAnsi="Times New Roman" w:eastAsia="方正仿宋_GBK" w:cs="Times New Roman"/>
          <w:sz w:val="32"/>
          <w:szCs w:val="32"/>
        </w:rPr>
      </w:pPr>
    </w:p>
    <w:p w14:paraId="6FFB61EE">
      <w:pPr>
        <w:spacing w:line="600" w:lineRule="exact"/>
        <w:ind w:firstLine="640" w:firstLineChars="200"/>
        <w:rPr>
          <w:rFonts w:ascii="Times New Roman" w:hAnsi="Times New Roman" w:eastAsia="方正黑体_GBK" w:cs="Times New Roman"/>
          <w:sz w:val="32"/>
          <w:szCs w:val="32"/>
        </w:rPr>
      </w:pPr>
      <w:r>
        <w:rPr>
          <w:rFonts w:ascii="Times New Roman" w:hAnsi="Times New Roman" w:eastAsia="方正黑体_GBK" w:cs="Times New Roman"/>
          <w:sz w:val="32"/>
          <w:szCs w:val="32"/>
        </w:rPr>
        <w:t>6002：南京进一步推动科技创新与产业创新深度融合思路对策研究</w:t>
      </w:r>
    </w:p>
    <w:p w14:paraId="19E8ECC3">
      <w:pPr>
        <w:spacing w:line="6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研究内容：立足打造具有全球影响力的产业科技创新中心主承载区要求，系统梳理南京科技创新与产业创新融合发展现状及其面临的主要问题，提出进一步推动科技创新与产业创新深度融合的思路和对策。</w:t>
      </w:r>
    </w:p>
    <w:p w14:paraId="1547F3CA">
      <w:pPr>
        <w:spacing w:line="600" w:lineRule="exact"/>
        <w:ind w:firstLine="640" w:firstLineChars="200"/>
        <w:rPr>
          <w:rFonts w:ascii="Times New Roman" w:hAnsi="Times New Roman" w:eastAsia="方正仿宋_GBK" w:cs="Times New Roman"/>
          <w:sz w:val="32"/>
          <w:szCs w:val="32"/>
        </w:rPr>
      </w:pPr>
    </w:p>
    <w:p w14:paraId="0460499A">
      <w:pPr>
        <w:spacing w:line="600" w:lineRule="exact"/>
        <w:ind w:firstLine="640" w:firstLineChars="200"/>
        <w:rPr>
          <w:rFonts w:ascii="Times New Roman" w:hAnsi="Times New Roman" w:eastAsia="方正仿宋_GBK" w:cs="Times New Roman"/>
          <w:sz w:val="32"/>
          <w:szCs w:val="32"/>
        </w:rPr>
      </w:pPr>
      <w:r>
        <w:rPr>
          <w:rFonts w:ascii="Times New Roman" w:hAnsi="Times New Roman" w:eastAsia="方正黑体_GBK" w:cs="Times New Roman"/>
          <w:sz w:val="32"/>
          <w:szCs w:val="32"/>
        </w:rPr>
        <w:t>6003：面向2035的我市科技创新中长期发展重点关键问题研究</w:t>
      </w:r>
    </w:p>
    <w:p w14:paraId="7CF45BC7">
      <w:pPr>
        <w:spacing w:line="6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研究内容：面向“十五五”时期及2035远景，以抢占未来科技竞争和发展制高点，增强科技自立自强体系化建制化协同化能力为目标，梳理国内外科技创新最新趋势，分析中长期南京科技创新面临的突出性问题和现实性需求，提出南京科技创新区域空间布局、战略目标指标和战略任务举措，形成上下衔接的创新发展路径和策略。</w:t>
      </w:r>
    </w:p>
    <w:p w14:paraId="3D071555">
      <w:pPr>
        <w:spacing w:line="600" w:lineRule="exact"/>
        <w:ind w:firstLine="640" w:firstLineChars="200"/>
        <w:rPr>
          <w:rFonts w:ascii="Times New Roman" w:hAnsi="Times New Roman" w:eastAsia="方正仿宋_GBK" w:cs="Times New Roman"/>
          <w:sz w:val="32"/>
          <w:szCs w:val="32"/>
        </w:rPr>
      </w:pPr>
    </w:p>
    <w:p w14:paraId="53CA3325">
      <w:pPr>
        <w:spacing w:line="600" w:lineRule="exact"/>
        <w:ind w:firstLine="640" w:firstLineChars="200"/>
        <w:rPr>
          <w:rFonts w:ascii="Times New Roman" w:hAnsi="Times New Roman" w:eastAsia="方正仿宋_GBK" w:cs="Times New Roman"/>
          <w:sz w:val="32"/>
          <w:szCs w:val="32"/>
        </w:rPr>
      </w:pPr>
      <w:r>
        <w:rPr>
          <w:rFonts w:ascii="Times New Roman" w:hAnsi="Times New Roman" w:eastAsia="方正黑体_GBK" w:cs="Times New Roman"/>
          <w:sz w:val="32"/>
          <w:szCs w:val="32"/>
        </w:rPr>
        <w:t>6004：南京市生物医药产业高质量发展“十五五”规划预研</w:t>
      </w:r>
    </w:p>
    <w:p w14:paraId="0F190768">
      <w:pPr>
        <w:spacing w:line="6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b/>
          <w:sz w:val="32"/>
          <w:szCs w:val="32"/>
        </w:rPr>
        <w:t>研究内容</w:t>
      </w:r>
      <w:r>
        <w:rPr>
          <w:rFonts w:ascii="Times New Roman" w:hAnsi="Times New Roman" w:eastAsia="方正仿宋_GBK" w:cs="Times New Roman"/>
          <w:sz w:val="32"/>
          <w:szCs w:val="32"/>
        </w:rPr>
        <w:t>：面向生物医药产业国内外前沿技术研发和产业发展趋势，基于南京市生物医药产业发展现状，研究具有前瞻性和可操作性的优化南京市生物医药产业发展定位的建议，确定“十五五”南京市生物医药产业高质量发展重点领域和方向等。</w:t>
      </w:r>
    </w:p>
    <w:p w14:paraId="3820F5D3">
      <w:pPr>
        <w:spacing w:line="600" w:lineRule="exact"/>
        <w:ind w:firstLine="640" w:firstLineChars="200"/>
        <w:rPr>
          <w:rFonts w:ascii="Times New Roman" w:hAnsi="Times New Roman" w:eastAsia="方正仿宋_GBK" w:cs="Times New Roman"/>
          <w:sz w:val="32"/>
          <w:szCs w:val="32"/>
        </w:rPr>
      </w:pPr>
    </w:p>
    <w:p w14:paraId="63838268">
      <w:pPr>
        <w:spacing w:line="600" w:lineRule="exact"/>
        <w:ind w:firstLine="640" w:firstLineChars="200"/>
        <w:rPr>
          <w:rFonts w:ascii="Times New Roman" w:hAnsi="Times New Roman" w:eastAsia="方正黑体_GBK" w:cs="Times New Roman"/>
          <w:sz w:val="32"/>
          <w:szCs w:val="32"/>
        </w:rPr>
      </w:pPr>
      <w:r>
        <w:rPr>
          <w:rFonts w:ascii="Times New Roman" w:hAnsi="Times New Roman" w:eastAsia="方正黑体_GBK" w:cs="Times New Roman"/>
          <w:sz w:val="32"/>
          <w:szCs w:val="32"/>
        </w:rPr>
        <w:t>6005：</w:t>
      </w:r>
      <w:bookmarkStart w:id="0" w:name="OLE_LINK33"/>
      <w:bookmarkStart w:id="1" w:name="OLE_LINK34"/>
      <w:r>
        <w:rPr>
          <w:rFonts w:ascii="Times New Roman" w:hAnsi="Times New Roman" w:eastAsia="方正黑体_GBK" w:cs="Times New Roman"/>
          <w:sz w:val="32"/>
          <w:szCs w:val="32"/>
        </w:rPr>
        <w:t>南京提升重大产业科技创新平台原创动能的路径和机制研究</w:t>
      </w:r>
      <w:bookmarkEnd w:id="0"/>
      <w:bookmarkEnd w:id="1"/>
    </w:p>
    <w:p w14:paraId="472EB90E">
      <w:pPr>
        <w:spacing w:line="6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研究内容：聚焦南京现有重大产业科技创新平台，全面剖析其现状与短板，在借鉴国内外先进平台的成功经验基础上，构建适配南京实情的创新路径与高效机制，为平台长远发展提供切实可行的实操建议。</w:t>
      </w:r>
    </w:p>
    <w:p w14:paraId="11FC5332">
      <w:pPr>
        <w:spacing w:line="600" w:lineRule="exact"/>
        <w:ind w:firstLine="640" w:firstLineChars="200"/>
        <w:rPr>
          <w:rFonts w:ascii="Times New Roman" w:hAnsi="Times New Roman" w:eastAsia="方正黑体_GBK" w:cs="Times New Roman"/>
          <w:sz w:val="32"/>
          <w:szCs w:val="32"/>
        </w:rPr>
      </w:pPr>
    </w:p>
    <w:p w14:paraId="18104D7A">
      <w:pPr>
        <w:spacing w:line="600" w:lineRule="exact"/>
        <w:ind w:firstLine="640" w:firstLineChars="200"/>
        <w:rPr>
          <w:rFonts w:ascii="Times New Roman" w:hAnsi="Times New Roman" w:eastAsia="方正仿宋_GBK" w:cs="Times New Roman"/>
          <w:sz w:val="32"/>
          <w:szCs w:val="32"/>
        </w:rPr>
      </w:pPr>
      <w:r>
        <w:rPr>
          <w:rFonts w:ascii="Times New Roman" w:hAnsi="Times New Roman" w:eastAsia="方正黑体_GBK" w:cs="Times New Roman"/>
          <w:sz w:val="32"/>
          <w:szCs w:val="32"/>
        </w:rPr>
        <w:t>6006：南京三大农业科创平台建设与协同发展路径的探索研究</w:t>
      </w:r>
    </w:p>
    <w:p w14:paraId="44791085">
      <w:pPr>
        <w:spacing w:line="6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研究内容：结合三大农业科创平台（农高区、农创中心和钟山实验室）发展方向、产业布局及南京市实际情况，研究提出切实可行的协同发展路径及工作机制，发挥三大农业科创平台各自优势，共同推动农业科技成果孵化、转化、产业化，形成共同发展、共建共享、辐射周边的协同发展格局。</w:t>
      </w:r>
    </w:p>
    <w:p w14:paraId="67806897">
      <w:pPr>
        <w:spacing w:line="600" w:lineRule="exact"/>
        <w:ind w:firstLine="640" w:firstLineChars="200"/>
        <w:rPr>
          <w:rFonts w:ascii="Times New Roman" w:hAnsi="Times New Roman" w:eastAsia="方正仿宋_GBK" w:cs="Times New Roman"/>
          <w:sz w:val="32"/>
          <w:szCs w:val="32"/>
        </w:rPr>
      </w:pPr>
    </w:p>
    <w:p w14:paraId="44394EAF">
      <w:pPr>
        <w:spacing w:line="600" w:lineRule="exact"/>
        <w:ind w:firstLine="640" w:firstLineChars="200"/>
        <w:rPr>
          <w:rFonts w:ascii="Times New Roman" w:hAnsi="Times New Roman" w:eastAsia="方正黑体_GBK" w:cs="Times New Roman"/>
          <w:sz w:val="32"/>
          <w:szCs w:val="32"/>
        </w:rPr>
      </w:pPr>
      <w:bookmarkStart w:id="2" w:name="OLE_LINK26"/>
      <w:bookmarkStart w:id="3" w:name="OLE_LINK27"/>
      <w:r>
        <w:rPr>
          <w:rFonts w:ascii="Times New Roman" w:hAnsi="Times New Roman" w:eastAsia="方正黑体_GBK" w:cs="Times New Roman"/>
          <w:sz w:val="32"/>
          <w:szCs w:val="32"/>
        </w:rPr>
        <w:t>6007：南京进一步深化科技人才评价改革试点研究</w:t>
      </w:r>
    </w:p>
    <w:p w14:paraId="658C63A4">
      <w:pPr>
        <w:spacing w:line="6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研究内容：全面梳理南京国家科技人才评价改革试点工作取得成效，对试点过程中出现的问题进行深入分析，学习借鉴其它试点省市改革经验，结合南京实际提出进一步优化完善现有科技人才评价体系及深化改革工作建议，为全省、全国科技人才评价改革探路。</w:t>
      </w:r>
    </w:p>
    <w:bookmarkEnd w:id="2"/>
    <w:bookmarkEnd w:id="3"/>
    <w:p w14:paraId="47CEB985">
      <w:pPr>
        <w:spacing w:line="600" w:lineRule="exact"/>
        <w:ind w:firstLine="640" w:firstLineChars="200"/>
        <w:rPr>
          <w:rFonts w:ascii="Times New Roman" w:hAnsi="Times New Roman" w:eastAsia="方正仿宋_GBK" w:cs="Times New Roman"/>
          <w:sz w:val="32"/>
          <w:szCs w:val="32"/>
        </w:rPr>
      </w:pPr>
    </w:p>
    <w:p w14:paraId="60AFFB0E">
      <w:pPr>
        <w:spacing w:line="600" w:lineRule="exact"/>
        <w:ind w:firstLine="640" w:firstLineChars="200"/>
        <w:rPr>
          <w:rFonts w:ascii="Times New Roman" w:hAnsi="Times New Roman" w:eastAsia="方正仿宋_GBK" w:cs="Times New Roman"/>
          <w:sz w:val="32"/>
          <w:szCs w:val="32"/>
        </w:rPr>
      </w:pPr>
      <w:r>
        <w:rPr>
          <w:rFonts w:ascii="Times New Roman" w:hAnsi="Times New Roman" w:eastAsia="方正黑体_GBK" w:cs="Times New Roman"/>
          <w:sz w:val="32"/>
          <w:szCs w:val="32"/>
        </w:rPr>
        <w:t>6008：南京市生物制造前沿技术和产业布局的研究</w:t>
      </w:r>
    </w:p>
    <w:p w14:paraId="5A3F3CD3">
      <w:pPr>
        <w:spacing w:line="6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研究内容：</w:t>
      </w:r>
      <w:bookmarkStart w:id="4" w:name="OLE_LINK4"/>
      <w:bookmarkStart w:id="5" w:name="OLE_LINK3"/>
      <w:r>
        <w:rPr>
          <w:rFonts w:ascii="Times New Roman" w:hAnsi="Times New Roman" w:eastAsia="方正仿宋_GBK" w:cs="Times New Roman"/>
          <w:sz w:val="32"/>
          <w:szCs w:val="32"/>
        </w:rPr>
        <w:t>梳理南京目前生物制造产业的高校学科资源、科研平台和科技型企业的前沿技术研发情况，构建南京生物制造的技术路线图和产业图谱，为南京高质量发展生物制造产业，布局产业新赛道提供决策参考和对策建议。</w:t>
      </w:r>
      <w:bookmarkEnd w:id="4"/>
      <w:bookmarkEnd w:id="5"/>
    </w:p>
    <w:p w14:paraId="6303A7B4">
      <w:pPr>
        <w:spacing w:line="600" w:lineRule="exact"/>
        <w:ind w:firstLine="640" w:firstLineChars="200"/>
        <w:rPr>
          <w:rFonts w:ascii="Times New Roman" w:hAnsi="Times New Roman" w:eastAsia="方正仿宋_GBK" w:cs="Times New Roman"/>
          <w:sz w:val="32"/>
          <w:szCs w:val="32"/>
        </w:rPr>
      </w:pPr>
    </w:p>
    <w:p w14:paraId="1E458606">
      <w:pPr>
        <w:spacing w:line="600" w:lineRule="exact"/>
        <w:ind w:firstLine="640" w:firstLineChars="200"/>
        <w:rPr>
          <w:rFonts w:ascii="Times New Roman" w:hAnsi="Times New Roman" w:eastAsia="方正黑体_GBK" w:cs="Times New Roman"/>
          <w:sz w:val="32"/>
          <w:szCs w:val="32"/>
        </w:rPr>
      </w:pPr>
      <w:r>
        <w:rPr>
          <w:rFonts w:ascii="Times New Roman" w:hAnsi="Times New Roman" w:eastAsia="方正黑体_GBK" w:cs="Times New Roman"/>
          <w:sz w:val="32"/>
          <w:szCs w:val="32"/>
        </w:rPr>
        <w:t>6009：</w:t>
      </w:r>
      <w:bookmarkStart w:id="6" w:name="OLE_LINK29"/>
      <w:bookmarkStart w:id="7" w:name="OLE_LINK30"/>
      <w:bookmarkStart w:id="8" w:name="OLE_LINK28"/>
      <w:r>
        <w:rPr>
          <w:rFonts w:ascii="Times New Roman" w:hAnsi="Times New Roman" w:eastAsia="方正黑体_GBK" w:cs="Times New Roman"/>
          <w:sz w:val="32"/>
          <w:szCs w:val="32"/>
        </w:rPr>
        <w:t>南京市推进高校科技成果转移转化体制机制研究</w:t>
      </w:r>
      <w:bookmarkEnd w:id="6"/>
      <w:bookmarkEnd w:id="7"/>
      <w:bookmarkEnd w:id="8"/>
    </w:p>
    <w:p w14:paraId="6C3361A7">
      <w:pPr>
        <w:spacing w:line="6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研究内容：梳理在宁高校（特别是13所“双一流”高校）科技成果转化现状，总结高校科技成果转化成功经验案例，剖析现有问题与不足，提高高校科技成果转化效能，推动构建高效、畅通的高校科技成果转移转化体系。</w:t>
      </w:r>
    </w:p>
    <w:p w14:paraId="5DC85FEA">
      <w:pPr>
        <w:spacing w:line="600" w:lineRule="exact"/>
        <w:ind w:firstLine="640" w:firstLineChars="200"/>
        <w:rPr>
          <w:rFonts w:ascii="Times New Roman" w:hAnsi="Times New Roman" w:eastAsia="方正仿宋_GBK" w:cs="Times New Roman"/>
          <w:sz w:val="32"/>
          <w:szCs w:val="32"/>
        </w:rPr>
      </w:pPr>
    </w:p>
    <w:p w14:paraId="6B14781C">
      <w:pPr>
        <w:spacing w:line="600" w:lineRule="exact"/>
        <w:ind w:firstLine="640" w:firstLineChars="200"/>
        <w:rPr>
          <w:rFonts w:ascii="Times New Roman" w:hAnsi="Times New Roman" w:eastAsia="方正黑体_GBK" w:cs="Times New Roman"/>
          <w:sz w:val="32"/>
          <w:szCs w:val="32"/>
        </w:rPr>
      </w:pPr>
      <w:r>
        <w:rPr>
          <w:rFonts w:ascii="Times New Roman" w:hAnsi="Times New Roman" w:eastAsia="方正黑体_GBK" w:cs="Times New Roman"/>
          <w:sz w:val="32"/>
          <w:szCs w:val="32"/>
        </w:rPr>
        <w:t>6010：</w:t>
      </w:r>
      <w:bookmarkStart w:id="9" w:name="OLE_LINK31"/>
      <w:bookmarkStart w:id="10" w:name="OLE_LINK32"/>
      <w:r>
        <w:rPr>
          <w:rFonts w:ascii="Times New Roman" w:hAnsi="Times New Roman" w:eastAsia="方正黑体_GBK" w:cs="Times New Roman"/>
          <w:sz w:val="32"/>
          <w:szCs w:val="32"/>
        </w:rPr>
        <w:t>南京高新区争先进位目标下的战略挑战与突破路径</w:t>
      </w:r>
      <w:bookmarkEnd w:id="9"/>
      <w:bookmarkEnd w:id="10"/>
    </w:p>
    <w:p w14:paraId="0B50BDCA">
      <w:pPr>
        <w:spacing w:line="6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研究内容：剖析开发区目录调整后南京高新区空间重构的具体情况，分析空间变化带来的产业结构、创新资源、体制机制等问题以及争先进位存在的差距，提出发展建议和突破路径，为争先进位提供智力支撑。</w:t>
      </w:r>
    </w:p>
    <w:p w14:paraId="5D19B47D">
      <w:pPr>
        <w:spacing w:line="600" w:lineRule="exact"/>
        <w:ind w:firstLine="640" w:firstLineChars="200"/>
        <w:rPr>
          <w:rFonts w:ascii="Times New Roman" w:hAnsi="Times New Roman" w:eastAsia="方正仿宋_GBK" w:cs="Times New Roman"/>
          <w:sz w:val="32"/>
          <w:szCs w:val="32"/>
        </w:rPr>
      </w:pPr>
    </w:p>
    <w:p w14:paraId="3E2DF74D">
      <w:pPr>
        <w:spacing w:line="600" w:lineRule="exact"/>
        <w:ind w:firstLine="640" w:firstLineChars="200"/>
        <w:rPr>
          <w:rFonts w:ascii="Times New Roman" w:hAnsi="Times New Roman" w:eastAsia="方正黑体_GBK" w:cs="Times New Roman"/>
          <w:sz w:val="32"/>
          <w:szCs w:val="32"/>
        </w:rPr>
      </w:pPr>
      <w:r>
        <w:rPr>
          <w:rFonts w:ascii="Times New Roman" w:hAnsi="Times New Roman" w:eastAsia="方正黑体_GBK" w:cs="Times New Roman"/>
          <w:sz w:val="32"/>
          <w:szCs w:val="32"/>
        </w:rPr>
        <w:t>6011：南京深化科技体制综合改革三年行动评估</w:t>
      </w:r>
    </w:p>
    <w:p w14:paraId="0475214A">
      <w:pPr>
        <w:spacing w:line="6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研究内容：梳理南京深化科技体制综合改革三年行动方案主要目标和重点任务完成情况，总结亮点做法和主要成效，分析存在问题，提出新时代南京深化科技体制综合改革提升创新体系整体效能的对策建议。</w:t>
      </w:r>
    </w:p>
    <w:p w14:paraId="11CCF495">
      <w:pPr>
        <w:spacing w:line="600" w:lineRule="exact"/>
        <w:ind w:firstLine="640" w:firstLineChars="200"/>
        <w:rPr>
          <w:rFonts w:ascii="Times New Roman" w:hAnsi="Times New Roman" w:eastAsia="方正仿宋_GBK" w:cs="Times New Roman"/>
          <w:sz w:val="32"/>
          <w:szCs w:val="32"/>
        </w:rPr>
      </w:pPr>
    </w:p>
    <w:p w14:paraId="7ECFAC5A">
      <w:pPr>
        <w:spacing w:line="600" w:lineRule="exact"/>
        <w:ind w:firstLine="640" w:firstLineChars="200"/>
        <w:rPr>
          <w:rFonts w:ascii="Times New Roman" w:hAnsi="Times New Roman" w:eastAsia="方正黑体_GBK" w:cs="Times New Roman"/>
          <w:sz w:val="32"/>
          <w:szCs w:val="32"/>
        </w:rPr>
      </w:pPr>
      <w:r>
        <w:rPr>
          <w:rFonts w:ascii="Times New Roman" w:hAnsi="Times New Roman" w:eastAsia="方正黑体_GBK" w:cs="Times New Roman"/>
          <w:sz w:val="32"/>
          <w:szCs w:val="32"/>
        </w:rPr>
        <w:t>6012：南京</w:t>
      </w:r>
      <w:bookmarkStart w:id="11" w:name="OLE_LINK1"/>
      <w:bookmarkStart w:id="12" w:name="OLE_LINK2"/>
      <w:r>
        <w:rPr>
          <w:rFonts w:ascii="Times New Roman" w:hAnsi="Times New Roman" w:eastAsia="方正黑体_GBK" w:cs="Times New Roman"/>
          <w:sz w:val="32"/>
          <w:szCs w:val="32"/>
        </w:rPr>
        <w:t>产业科技创新风险应对</w:t>
      </w:r>
      <w:bookmarkEnd w:id="11"/>
      <w:bookmarkEnd w:id="12"/>
      <w:r>
        <w:rPr>
          <w:rFonts w:ascii="Times New Roman" w:hAnsi="Times New Roman" w:eastAsia="方正黑体_GBK" w:cs="Times New Roman"/>
          <w:sz w:val="32"/>
          <w:szCs w:val="32"/>
        </w:rPr>
        <w:t>策略研究</w:t>
      </w:r>
    </w:p>
    <w:p w14:paraId="0013E9B1">
      <w:pPr>
        <w:spacing w:line="6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研究内容：分析南京产业科技创新面临的风险和挑战，研究在强化创新能力、构建产业生态、营造创新氛围、优化营商环境等方面，应对风险的策略和保障措施，为有效提升南京产业科技创新风险应对和治理能力，有效统筹产业科技创新的发展与安全，提供参考。</w:t>
      </w:r>
    </w:p>
    <w:p w14:paraId="6408CFA8">
      <w:pPr>
        <w:spacing w:line="600" w:lineRule="exact"/>
        <w:ind w:firstLine="640" w:firstLineChars="200"/>
        <w:rPr>
          <w:rFonts w:ascii="Times New Roman" w:hAnsi="Times New Roman" w:eastAsia="方正仿宋_GBK" w:cs="Times New Roman"/>
          <w:sz w:val="32"/>
          <w:szCs w:val="32"/>
        </w:rPr>
      </w:pPr>
    </w:p>
    <w:p w14:paraId="41133C96">
      <w:pPr>
        <w:spacing w:line="600" w:lineRule="exact"/>
        <w:ind w:firstLine="640" w:firstLineChars="200"/>
        <w:rPr>
          <w:rFonts w:ascii="Times New Roman" w:hAnsi="Times New Roman" w:eastAsia="方正黑体_GBK" w:cs="Times New Roman"/>
          <w:sz w:val="32"/>
          <w:szCs w:val="32"/>
        </w:rPr>
      </w:pPr>
      <w:r>
        <w:rPr>
          <w:rFonts w:ascii="Times New Roman" w:hAnsi="Times New Roman" w:eastAsia="方正黑体_GBK" w:cs="Times New Roman"/>
          <w:sz w:val="32"/>
          <w:szCs w:val="32"/>
        </w:rPr>
        <w:t>6013：南京创新主体高质量发展梯度培育体系研究</w:t>
      </w:r>
    </w:p>
    <w:p w14:paraId="1A0824FB">
      <w:pPr>
        <w:spacing w:line="6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研究内容：按照初创期企业-科技型中小企业-高新技术企业-科技领军企业成长梯度，深入分析不同发展阶段科技企业对各类创新要素保障需求情况，有针对性提出培育对策，构建体系化支持企业成长的政策链，加快科技企业高质量发展。</w:t>
      </w:r>
    </w:p>
    <w:p w14:paraId="438D55D5">
      <w:pPr>
        <w:spacing w:line="600" w:lineRule="exact"/>
        <w:ind w:firstLine="640" w:firstLineChars="200"/>
        <w:rPr>
          <w:rFonts w:ascii="Times New Roman" w:hAnsi="Times New Roman" w:eastAsia="方正仿宋_GBK" w:cs="Times New Roman"/>
          <w:sz w:val="32"/>
          <w:szCs w:val="32"/>
        </w:rPr>
      </w:pPr>
    </w:p>
    <w:p w14:paraId="2022B1D6">
      <w:pPr>
        <w:spacing w:line="600" w:lineRule="exact"/>
        <w:ind w:firstLine="640" w:firstLineChars="200"/>
        <w:rPr>
          <w:rFonts w:ascii="Times New Roman" w:hAnsi="Times New Roman" w:eastAsia="方正黑体_GBK" w:cs="Times New Roman"/>
          <w:sz w:val="32"/>
          <w:szCs w:val="32"/>
        </w:rPr>
      </w:pPr>
      <w:r>
        <w:rPr>
          <w:rFonts w:ascii="Times New Roman" w:hAnsi="Times New Roman" w:eastAsia="方正黑体_GBK" w:cs="Times New Roman"/>
          <w:sz w:val="32"/>
          <w:szCs w:val="32"/>
        </w:rPr>
        <w:t>6014：南京</w:t>
      </w:r>
      <w:bookmarkStart w:id="13" w:name="OLE_LINK22"/>
      <w:bookmarkStart w:id="14" w:name="OLE_LINK21"/>
      <w:r>
        <w:rPr>
          <w:rFonts w:ascii="Times New Roman" w:hAnsi="Times New Roman" w:eastAsia="方正黑体_GBK" w:cs="Times New Roman"/>
          <w:sz w:val="32"/>
          <w:szCs w:val="32"/>
        </w:rPr>
        <w:t>健全保障科研人员专心科研对策</w:t>
      </w:r>
      <w:bookmarkEnd w:id="13"/>
      <w:bookmarkEnd w:id="14"/>
      <w:r>
        <w:rPr>
          <w:rFonts w:ascii="Times New Roman" w:hAnsi="Times New Roman" w:eastAsia="方正黑体_GBK" w:cs="Times New Roman"/>
          <w:sz w:val="32"/>
          <w:szCs w:val="32"/>
        </w:rPr>
        <w:t>研究</w:t>
      </w:r>
    </w:p>
    <w:p w14:paraId="6E0D0FF8">
      <w:pPr>
        <w:spacing w:line="6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研究内容：调研分析南京高校院所科研人员专心科研状况，从科研管理、人才评价、资源保障、成果收益、制度建设、科研诚信、尽职免责等维度，结合南京实际提出健全保障科研人员专心科研对策。</w:t>
      </w:r>
    </w:p>
    <w:p w14:paraId="2812CA20">
      <w:pPr>
        <w:spacing w:line="600" w:lineRule="exact"/>
        <w:ind w:firstLine="640" w:firstLineChars="200"/>
        <w:rPr>
          <w:rFonts w:ascii="Times New Roman" w:hAnsi="Times New Roman" w:eastAsia="方正仿宋_GBK" w:cs="Times New Roman"/>
          <w:sz w:val="32"/>
          <w:szCs w:val="32"/>
        </w:rPr>
      </w:pPr>
    </w:p>
    <w:p w14:paraId="73E0F09C">
      <w:pPr>
        <w:spacing w:line="600" w:lineRule="exact"/>
        <w:ind w:firstLine="640" w:firstLineChars="200"/>
        <w:rPr>
          <w:rFonts w:ascii="Times New Roman" w:hAnsi="Times New Roman" w:eastAsia="方正黑体_GBK" w:cs="Times New Roman"/>
          <w:sz w:val="32"/>
          <w:szCs w:val="32"/>
        </w:rPr>
      </w:pPr>
      <w:r>
        <w:rPr>
          <w:rFonts w:ascii="Times New Roman" w:hAnsi="Times New Roman" w:eastAsia="方正黑体_GBK" w:cs="Times New Roman"/>
          <w:sz w:val="32"/>
          <w:szCs w:val="32"/>
        </w:rPr>
        <w:t>6015：沿沪宁协同创新城市联盟科创要素平台建设研究</w:t>
      </w:r>
    </w:p>
    <w:p w14:paraId="177B7959">
      <w:pPr>
        <w:spacing w:line="6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研究内容：梳理沿沪宁协同创新城市联盟创新资源空间分布、挖掘创新要素流动数据，聚焦上海和南京都市圈重点与共性产业，研究创新资源在产业细分领域的布局特征，形成跨省域科技创新生态可视化决策服务，提升沿沪宁协同创新城市的协同创新效能与产业竞争力。</w:t>
      </w:r>
    </w:p>
    <w:p w14:paraId="79C510F7">
      <w:pPr>
        <w:spacing w:line="560" w:lineRule="exact"/>
        <w:ind w:firstLine="640" w:firstLineChars="200"/>
        <w:rPr>
          <w:rFonts w:ascii="Times New Roman" w:hAnsi="Times New Roman" w:eastAsia="方正仿宋_GBK" w:cs="Times New Roman"/>
          <w:sz w:val="32"/>
          <w:szCs w:val="32"/>
          <w:highlight w:val="yellow"/>
        </w:rPr>
      </w:pPr>
    </w:p>
    <w:p w14:paraId="2011F0B7">
      <w:pPr>
        <w:spacing w:line="560" w:lineRule="exact"/>
        <w:ind w:firstLine="640" w:firstLineChars="200"/>
        <w:rPr>
          <w:rFonts w:ascii="Times New Roman" w:hAnsi="Times New Roman" w:eastAsia="方正仿宋_GBK" w:cs="Times New Roman"/>
          <w:sz w:val="32"/>
          <w:szCs w:val="32"/>
        </w:rPr>
      </w:pPr>
      <w:r>
        <w:rPr>
          <w:rFonts w:ascii="Times New Roman" w:hAnsi="Times New Roman" w:eastAsia="方正黑体_GBK" w:cs="Times New Roman"/>
          <w:sz w:val="32"/>
          <w:szCs w:val="32"/>
        </w:rPr>
        <w:t>二、一般项目</w:t>
      </w:r>
    </w:p>
    <w:p w14:paraId="55443228">
      <w:pPr>
        <w:widowControl/>
        <w:shd w:val="clear" w:color="auto" w:fill="FFFFFF"/>
        <w:spacing w:line="560" w:lineRule="exact"/>
        <w:ind w:firstLine="640" w:firstLineChars="200"/>
        <w:rPr>
          <w:rFonts w:ascii="Times New Roman" w:hAnsi="Times New Roman" w:eastAsia="方正仿宋_GBK" w:cs="Times New Roman"/>
          <w:color w:val="111111"/>
          <w:kern w:val="0"/>
          <w:sz w:val="32"/>
          <w:szCs w:val="32"/>
        </w:rPr>
      </w:pPr>
      <w:r>
        <w:rPr>
          <w:rFonts w:ascii="Times New Roman" w:hAnsi="Times New Roman" w:eastAsia="方正仿宋_GBK" w:cs="Times New Roman"/>
          <w:color w:val="111111"/>
          <w:kern w:val="0"/>
          <w:sz w:val="32"/>
          <w:szCs w:val="32"/>
        </w:rPr>
        <w:t>6050：面向南京科技创新发展其他领域需求，不设具体题目，由申报单位自主选题，但不得与重点项目重复。</w:t>
      </w:r>
    </w:p>
    <w:p w14:paraId="1246DBC1">
      <w:pPr>
        <w:widowControl/>
        <w:shd w:val="clear" w:color="auto" w:fill="FFFFFF"/>
        <w:spacing w:line="560" w:lineRule="exact"/>
        <w:ind w:firstLine="640" w:firstLineChars="200"/>
        <w:rPr>
          <w:rFonts w:ascii="Times New Roman" w:hAnsi="Times New Roman" w:eastAsia="方正仿宋_GBK" w:cs="Times New Roman"/>
          <w:color w:val="111111"/>
          <w:kern w:val="0"/>
          <w:sz w:val="32"/>
          <w:szCs w:val="32"/>
        </w:rPr>
      </w:pPr>
      <w:r>
        <w:rPr>
          <w:rFonts w:ascii="Times New Roman" w:hAnsi="Times New Roman" w:eastAsia="方正仿宋_GBK" w:cs="Times New Roman"/>
          <w:color w:val="111111"/>
          <w:kern w:val="0"/>
          <w:sz w:val="32"/>
          <w:szCs w:val="32"/>
        </w:rPr>
        <w:t>市级部门、党群组织可围绕主责主业的工作创新、模式创新、理论创新等自主选题研究，将视申报情况明确支持方式。</w:t>
      </w:r>
    </w:p>
    <w:p w14:paraId="2FAC9F53">
      <w:pPr>
        <w:spacing w:line="560" w:lineRule="exact"/>
        <w:ind w:firstLine="640" w:firstLineChars="200"/>
        <w:rPr>
          <w:rFonts w:ascii="Times New Roman" w:hAnsi="Times New Roman" w:eastAsia="方正黑体_GBK" w:cs="Times New Roman"/>
          <w:sz w:val="32"/>
          <w:szCs w:val="32"/>
        </w:rPr>
      </w:pPr>
      <w:r>
        <w:rPr>
          <w:rFonts w:ascii="Times New Roman" w:hAnsi="Times New Roman" w:eastAsia="方正黑体_GBK" w:cs="Times New Roman"/>
          <w:sz w:val="32"/>
          <w:szCs w:val="32"/>
        </w:rPr>
        <w:t>三、青年项目</w:t>
      </w:r>
    </w:p>
    <w:p w14:paraId="0CE112D2">
      <w:pPr>
        <w:widowControl/>
        <w:shd w:val="clear" w:color="auto" w:fill="FFFFFF"/>
        <w:spacing w:line="560" w:lineRule="exact"/>
        <w:ind w:firstLine="640" w:firstLineChars="200"/>
        <w:rPr>
          <w:rFonts w:ascii="Times New Roman" w:hAnsi="Times New Roman" w:eastAsia="方正仿宋_GBK" w:cs="Times New Roman"/>
          <w:color w:val="111111"/>
          <w:kern w:val="0"/>
          <w:sz w:val="32"/>
          <w:szCs w:val="32"/>
        </w:rPr>
      </w:pPr>
      <w:r>
        <w:rPr>
          <w:rFonts w:ascii="Times New Roman" w:hAnsi="Times New Roman" w:eastAsia="方正仿宋_GBK" w:cs="Times New Roman"/>
          <w:color w:val="111111"/>
          <w:kern w:val="0"/>
          <w:sz w:val="32"/>
          <w:szCs w:val="32"/>
        </w:rPr>
        <w:t>6060：鼓励青年软科学研究人员面向南京科技创新发展其他领域需求开展研究，不设具体题目，由申报单位自主选题，但不得与重点项目重复。</w:t>
      </w:r>
    </w:p>
    <w:sectPr>
      <w:footerReference r:id="rId3" w:type="default"/>
      <w:footerReference r:id="rId4" w:type="even"/>
      <w:pgSz w:w="11906" w:h="16838"/>
      <w:pgMar w:top="2098" w:right="1474" w:bottom="1701" w:left="1588"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script"/>
    <w:pitch w:val="default"/>
    <w:sig w:usb0="A00002BF" w:usb1="184F6CFA" w:usb2="00000012" w:usb3="00000000" w:csb0="00040001" w:csb1="00000000"/>
  </w:font>
  <w:font w:name="楷体_GB2312">
    <w:panose1 w:val="02010609030101010101"/>
    <w:charset w:val="86"/>
    <w:family w:val="modern"/>
    <w:pitch w:val="default"/>
    <w:sig w:usb0="00000001" w:usb1="080E0000" w:usb2="00000000" w:usb3="00000000" w:csb0="00040000" w:csb1="00000000"/>
  </w:font>
  <w:font w:name="方正仿宋_GBK">
    <w:altName w:val="微软雅黑"/>
    <w:panose1 w:val="03000509000000000000"/>
    <w:charset w:val="86"/>
    <w:family w:val="script"/>
    <w:pitch w:val="default"/>
    <w:sig w:usb0="00000000" w:usb1="00000000" w:usb2="00000010" w:usb3="00000000" w:csb0="00040000" w:csb1="00000000"/>
  </w:font>
  <w:font w:name="方正小标宋_GBK">
    <w:altName w:val="微软雅黑"/>
    <w:panose1 w:val="03000509000000000000"/>
    <w:charset w:val="86"/>
    <w:family w:val="script"/>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 w:name="方正黑体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86B3B7">
    <w:pPr>
      <w:pStyle w:val="3"/>
      <w:ind w:right="420" w:rightChars="200"/>
      <w:jc w:val="right"/>
      <w:rPr>
        <w:rFonts w:hint="eastAsia"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PAGE   \* MERGEFORMAT</w:instrText>
    </w:r>
    <w:r>
      <w:rPr>
        <w:rFonts w:ascii="Times New Roman" w:hAnsi="Times New Roman" w:cs="Times New Roman"/>
        <w:sz w:val="28"/>
        <w:szCs w:val="28"/>
      </w:rPr>
      <w:fldChar w:fldCharType="separate"/>
    </w:r>
    <w:r>
      <w:rPr>
        <w:rFonts w:ascii="Times New Roman" w:hAnsi="Times New Roman" w:cs="Times New Roman"/>
        <w:sz w:val="28"/>
        <w:szCs w:val="28"/>
        <w:lang w:val="zh-CN"/>
      </w:rPr>
      <w:t>13</w:t>
    </w:r>
    <w:r>
      <w:rPr>
        <w:rFonts w:ascii="Times New Roman" w:hAnsi="Times New Roman" w:cs="Times New Roman"/>
        <w:sz w:val="28"/>
        <w:szCs w:val="28"/>
      </w:rPr>
      <w:fldChar w:fldCharType="end"/>
    </w:r>
    <w:r>
      <w:rPr>
        <w:rFonts w:ascii="Times New Roman" w:hAnsi="Times New Roman" w:cs="Times New Roman"/>
        <w:sz w:val="28"/>
        <w:szCs w:val="2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0E7821">
    <w:pPr>
      <w:pStyle w:val="3"/>
      <w:ind w:left="420" w:leftChars="200"/>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PAGE   \* MERGEFORMAT</w:instrText>
    </w:r>
    <w:r>
      <w:rPr>
        <w:rFonts w:ascii="Times New Roman" w:hAnsi="Times New Roman" w:cs="Times New Roman"/>
        <w:sz w:val="28"/>
        <w:szCs w:val="28"/>
      </w:rPr>
      <w:fldChar w:fldCharType="separate"/>
    </w:r>
    <w:r>
      <w:rPr>
        <w:rFonts w:ascii="Times New Roman" w:hAnsi="Times New Roman" w:cs="Times New Roman"/>
        <w:sz w:val="28"/>
        <w:szCs w:val="28"/>
        <w:lang w:val="zh-CN"/>
      </w:rPr>
      <w:t>12</w:t>
    </w:r>
    <w:r>
      <w:rPr>
        <w:rFonts w:ascii="Times New Roman" w:hAnsi="Times New Roman" w:cs="Times New Roman"/>
        <w:sz w:val="28"/>
        <w:szCs w:val="28"/>
      </w:rPr>
      <w:fldChar w:fldCharType="end"/>
    </w:r>
    <w:r>
      <w:rPr>
        <w:rFonts w:ascii="Times New Roman" w:hAnsi="Times New Roman" w:cs="Times New Roman"/>
        <w:sz w:val="28"/>
        <w:szCs w:val="28"/>
      </w:rPr>
      <w:t xml:space="preserve"> —</w:t>
    </w:r>
  </w:p>
  <w:p w14:paraId="792C39B9">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evenAndOddHeaders w:val="1"/>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ZhZWY4YzE3Y2IyOTlkMjM1YTk0M2MxZDBhNGZlYTEifQ=="/>
  </w:docVars>
  <w:rsids>
    <w:rsidRoot w:val="001F6800"/>
    <w:rsid w:val="00036C65"/>
    <w:rsid w:val="000554C2"/>
    <w:rsid w:val="001C18BE"/>
    <w:rsid w:val="001F6800"/>
    <w:rsid w:val="00285DA1"/>
    <w:rsid w:val="002A6AC9"/>
    <w:rsid w:val="002E60B1"/>
    <w:rsid w:val="00314C1F"/>
    <w:rsid w:val="00315C8E"/>
    <w:rsid w:val="003B60B2"/>
    <w:rsid w:val="004309E6"/>
    <w:rsid w:val="00435FE2"/>
    <w:rsid w:val="0045373E"/>
    <w:rsid w:val="004711FC"/>
    <w:rsid w:val="00483B86"/>
    <w:rsid w:val="004F690B"/>
    <w:rsid w:val="005C6E94"/>
    <w:rsid w:val="0062715A"/>
    <w:rsid w:val="00660532"/>
    <w:rsid w:val="006A2364"/>
    <w:rsid w:val="006F4052"/>
    <w:rsid w:val="006F79C2"/>
    <w:rsid w:val="007318BC"/>
    <w:rsid w:val="00797C02"/>
    <w:rsid w:val="007E0DE2"/>
    <w:rsid w:val="0081772A"/>
    <w:rsid w:val="00871CF6"/>
    <w:rsid w:val="008A5E1F"/>
    <w:rsid w:val="00925FCD"/>
    <w:rsid w:val="009C32A3"/>
    <w:rsid w:val="009E0E17"/>
    <w:rsid w:val="00A31C95"/>
    <w:rsid w:val="00A63D58"/>
    <w:rsid w:val="00AF2CB7"/>
    <w:rsid w:val="00B00019"/>
    <w:rsid w:val="00B659AB"/>
    <w:rsid w:val="00B82189"/>
    <w:rsid w:val="00C5615A"/>
    <w:rsid w:val="00CB294B"/>
    <w:rsid w:val="00CF65F0"/>
    <w:rsid w:val="00D55673"/>
    <w:rsid w:val="00D66735"/>
    <w:rsid w:val="00D763FE"/>
    <w:rsid w:val="00D85B77"/>
    <w:rsid w:val="00DA2081"/>
    <w:rsid w:val="00DB4F4F"/>
    <w:rsid w:val="00DC7ED5"/>
    <w:rsid w:val="00DD2483"/>
    <w:rsid w:val="00E95D3E"/>
    <w:rsid w:val="00F23754"/>
    <w:rsid w:val="00F354D3"/>
    <w:rsid w:val="00F4012F"/>
    <w:rsid w:val="00F624FD"/>
    <w:rsid w:val="00FB0569"/>
    <w:rsid w:val="00FC6F1A"/>
    <w:rsid w:val="24EA789C"/>
    <w:rsid w:val="31CF2437"/>
    <w:rsid w:val="60FD481A"/>
    <w:rsid w:val="7FD276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22"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2"/>
    <w:qFormat/>
    <w:uiPriority w:val="99"/>
    <w:rPr>
      <w:sz w:val="18"/>
      <w:szCs w:val="18"/>
    </w:rPr>
  </w:style>
  <w:style w:type="paragraph" w:styleId="3">
    <w:name w:val="footer"/>
    <w:basedOn w:val="1"/>
    <w:link w:val="11"/>
    <w:qFormat/>
    <w:uiPriority w:val="99"/>
    <w:pPr>
      <w:tabs>
        <w:tab w:val="center" w:pos="4153"/>
        <w:tab w:val="right" w:pos="8306"/>
      </w:tabs>
      <w:snapToGrid w:val="0"/>
      <w:jc w:val="left"/>
    </w:pPr>
    <w:rPr>
      <w:sz w:val="18"/>
      <w:szCs w:val="18"/>
    </w:rPr>
  </w:style>
  <w:style w:type="paragraph" w:styleId="4">
    <w:name w:val="header"/>
    <w:basedOn w:val="1"/>
    <w:link w:val="10"/>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99"/>
    <w:pPr>
      <w:widowControl/>
      <w:spacing w:before="100" w:beforeAutospacing="1" w:after="100" w:afterAutospacing="1"/>
      <w:jc w:val="left"/>
    </w:pPr>
    <w:rPr>
      <w:rFonts w:ascii="宋体" w:hAnsi="宋体"/>
      <w:kern w:val="0"/>
      <w:sz w:val="24"/>
      <w:szCs w:val="24"/>
    </w:rPr>
  </w:style>
  <w:style w:type="character" w:styleId="8">
    <w:name w:val="Strong"/>
    <w:basedOn w:val="7"/>
    <w:qFormat/>
    <w:uiPriority w:val="22"/>
    <w:rPr>
      <w:b/>
    </w:rPr>
  </w:style>
  <w:style w:type="character" w:styleId="9">
    <w:name w:val="Hyperlink"/>
    <w:basedOn w:val="7"/>
    <w:qFormat/>
    <w:uiPriority w:val="99"/>
    <w:rPr>
      <w:color w:val="0000FF"/>
      <w:u w:val="single"/>
    </w:rPr>
  </w:style>
  <w:style w:type="character" w:customStyle="1" w:styleId="10">
    <w:name w:val="页眉 字符"/>
    <w:basedOn w:val="7"/>
    <w:link w:val="4"/>
    <w:qFormat/>
    <w:uiPriority w:val="99"/>
    <w:rPr>
      <w:sz w:val="18"/>
      <w:szCs w:val="18"/>
    </w:rPr>
  </w:style>
  <w:style w:type="character" w:customStyle="1" w:styleId="11">
    <w:name w:val="页脚 字符"/>
    <w:basedOn w:val="7"/>
    <w:link w:val="3"/>
    <w:qFormat/>
    <w:uiPriority w:val="99"/>
    <w:rPr>
      <w:sz w:val="18"/>
      <w:szCs w:val="18"/>
    </w:rPr>
  </w:style>
  <w:style w:type="character" w:customStyle="1" w:styleId="12">
    <w:name w:val="批注框文本 字符"/>
    <w:basedOn w:val="7"/>
    <w:link w:val="2"/>
    <w:qFormat/>
    <w:uiPriority w:val="99"/>
    <w:rPr>
      <w:sz w:val="18"/>
      <w:szCs w:val="18"/>
    </w:rPr>
  </w:style>
  <w:style w:type="paragraph" w:styleId="13">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416FF9-A69C-4493-AE84-9384D5F89CFE}">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6</Pages>
  <Words>4938</Words>
  <Characters>5133</Characters>
  <Lines>37</Lines>
  <Paragraphs>10</Paragraphs>
  <TotalTime>7</TotalTime>
  <ScaleCrop>false</ScaleCrop>
  <LinksUpToDate>false</LinksUpToDate>
  <CharactersWithSpaces>5183</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2025-06-12T02:27:00Z</dcterms:created>
  <dc:creator>AutoBVT</dc:creator>
  <cp:lastModifiedBy>奥呐</cp:lastModifiedBy>
  <cp:lastPrinted>2025-06-11T06:23:00Z</cp:lastPrinted>
  <dcterms:modified xsi:type="dcterms:W3CDTF">2025-06-17T03:13:08Z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D7EA5D303DF94895AC4BD9DC555C5662_13</vt:lpwstr>
  </property>
  <property fmtid="{D5CDD505-2E9C-101B-9397-08002B2CF9AE}" pid="4" name="KSOTemplateDocerSaveRecord">
    <vt:lpwstr>eyJoZGlkIjoiYWRkNzA5N2YzY2E5NjMzNGZiNTNhMDg3ODIzMTg3MWUiLCJ1c2VySWQiOiI0NTE3NTkzOTEifQ==</vt:lpwstr>
  </property>
</Properties>
</file>