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年国家</w:t>
      </w:r>
      <w:r>
        <w:rPr>
          <w:rFonts w:hint="eastAsia" w:eastAsia="方正小标宋简体"/>
          <w:sz w:val="44"/>
          <w:szCs w:val="44"/>
          <w:lang w:eastAsia="zh-CN"/>
        </w:rPr>
        <w:t>社会科学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基金高校思想政治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理论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课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研究专项课题指南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（重点项目）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1.习近平总书记关于学校思政课建设重要论述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的研究阐释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以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" w:bidi="ar-SA"/>
        </w:rPr>
        <w:t>习近平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新时代中国特色社会主义思想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为核心内容的思政课课程教材体系建设研究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" w:bidi="ar-SA"/>
        </w:rPr>
        <w:t>习近平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新时代中国特色社会主义思想进教材进课堂进头脑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的方法创新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习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近平文化思想融入高校思政课教学的机制和路径研究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5.新中国成立以来思政课发展历程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和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建设经验研究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6.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思政课建设与党的创新理论武装同步推进机制研究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7.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新时代思政课建设内涵式发展实现路径研究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8.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信息技术迅猛发展新形势下的思政课教学改革创新研究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9.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增强思政课信仰感染力的理论和实践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10.思政课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教学资源开发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和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应用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机制创新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提升思政课针对性和吸引力的教学评价创新研究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思政课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优秀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教学案例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推广和品牌建设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课内课外一体、师生共同参与的新时代实践育人新范式研究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高校思政课教材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及教学辅导用书编写改革创新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教学质量优先的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高校思政课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教师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高校思政课教师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教书育人能力提升机制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.高校思政课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教学模式与方法创新研究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.高校思政课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课程教学成效调查与评价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.社会思潮对大学生世界观、人生观、价值观影响及应对研究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20.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大学生思想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状况跟踪调查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与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21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互联网对学生思想行为影响的调查研究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22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lang w:val="en-US" w:eastAsia="zh-CN"/>
        </w:rPr>
        <w:t>大学生理想信念教育常态化制度化的实现路径研究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23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.大中小学思想政治教育一体化建设机制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和路径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24.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推进大中小学思政课一体化改革创新的理论和实践问题研究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25.大中小学思政课课程目标和教学内容合理设置研究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高校本硕博思政课一体化建设研究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.“大思政课”建设的现状、问题及对策研究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思政小课堂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与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社会大课堂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融合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机制和实现路径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.思政课程与课程思政协同育人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的理论和实践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30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"/>
        </w:rPr>
        <w:t>数字赋能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思政课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建设的实现路径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网络思政大课的内容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体系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、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平台建设和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互动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传播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32.面向学生的网上思想道德教育分众化、精准化实施机制研究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Cs/>
          <w:color w:val="FF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33.“行走的思政课”教学模式创新和保障机制研究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ZWI4NjQ4ODY4MTI1NjU3OTg3MDVlOGEyMWQyNWIifQ=="/>
  </w:docVars>
  <w:rsids>
    <w:rsidRoot w:val="468D7072"/>
    <w:rsid w:val="00AE4E5E"/>
    <w:rsid w:val="00F9775F"/>
    <w:rsid w:val="018A7679"/>
    <w:rsid w:val="0250441F"/>
    <w:rsid w:val="02515FCF"/>
    <w:rsid w:val="02900CBF"/>
    <w:rsid w:val="02DA63DE"/>
    <w:rsid w:val="030671D3"/>
    <w:rsid w:val="03547F3F"/>
    <w:rsid w:val="0755105D"/>
    <w:rsid w:val="07724E37"/>
    <w:rsid w:val="08DD2784"/>
    <w:rsid w:val="090031F7"/>
    <w:rsid w:val="090E5BA6"/>
    <w:rsid w:val="0A1A2AD5"/>
    <w:rsid w:val="0A8351D4"/>
    <w:rsid w:val="0A9357F1"/>
    <w:rsid w:val="0AA01CBB"/>
    <w:rsid w:val="0AEA1189"/>
    <w:rsid w:val="0B5E5DFE"/>
    <w:rsid w:val="0BCF0AAA"/>
    <w:rsid w:val="0C5164CB"/>
    <w:rsid w:val="0CFB142B"/>
    <w:rsid w:val="0D6C40D7"/>
    <w:rsid w:val="0DAE649D"/>
    <w:rsid w:val="0E7A2E5A"/>
    <w:rsid w:val="0F6D42AF"/>
    <w:rsid w:val="0F942ADE"/>
    <w:rsid w:val="100E03DF"/>
    <w:rsid w:val="11627CCB"/>
    <w:rsid w:val="121F5BBC"/>
    <w:rsid w:val="12545BAF"/>
    <w:rsid w:val="12690474"/>
    <w:rsid w:val="12FC49F7"/>
    <w:rsid w:val="13023513"/>
    <w:rsid w:val="130A061A"/>
    <w:rsid w:val="132C0042"/>
    <w:rsid w:val="13F46856"/>
    <w:rsid w:val="14180B15"/>
    <w:rsid w:val="146F0161"/>
    <w:rsid w:val="14793951"/>
    <w:rsid w:val="160000BC"/>
    <w:rsid w:val="179E4FE1"/>
    <w:rsid w:val="17ECF5F7"/>
    <w:rsid w:val="190E72BA"/>
    <w:rsid w:val="1922410B"/>
    <w:rsid w:val="1A491A28"/>
    <w:rsid w:val="1BAFA645"/>
    <w:rsid w:val="1DFC68D6"/>
    <w:rsid w:val="1E5866DD"/>
    <w:rsid w:val="1EBD7008"/>
    <w:rsid w:val="1FBC53FD"/>
    <w:rsid w:val="1FCBEF63"/>
    <w:rsid w:val="1FEF509F"/>
    <w:rsid w:val="20A420AE"/>
    <w:rsid w:val="219B1F7E"/>
    <w:rsid w:val="21F30B68"/>
    <w:rsid w:val="23452FA8"/>
    <w:rsid w:val="24CB19D5"/>
    <w:rsid w:val="24FE2605"/>
    <w:rsid w:val="25186BC6"/>
    <w:rsid w:val="25AD0C5F"/>
    <w:rsid w:val="25E248AA"/>
    <w:rsid w:val="267B5085"/>
    <w:rsid w:val="27CFDF25"/>
    <w:rsid w:val="28245882"/>
    <w:rsid w:val="289D72E9"/>
    <w:rsid w:val="28D70B46"/>
    <w:rsid w:val="295977AD"/>
    <w:rsid w:val="29BA0A13"/>
    <w:rsid w:val="2A6A2ACF"/>
    <w:rsid w:val="2D945258"/>
    <w:rsid w:val="2E0E2D85"/>
    <w:rsid w:val="2F000199"/>
    <w:rsid w:val="2F0401BB"/>
    <w:rsid w:val="2F6FB914"/>
    <w:rsid w:val="302F75BD"/>
    <w:rsid w:val="30523DA7"/>
    <w:rsid w:val="308A649E"/>
    <w:rsid w:val="31F12C79"/>
    <w:rsid w:val="32016C8C"/>
    <w:rsid w:val="33027CED"/>
    <w:rsid w:val="33D06581"/>
    <w:rsid w:val="33DB56BC"/>
    <w:rsid w:val="340F5638"/>
    <w:rsid w:val="353D9EBA"/>
    <w:rsid w:val="361B11B2"/>
    <w:rsid w:val="367A22BB"/>
    <w:rsid w:val="36F6488E"/>
    <w:rsid w:val="377D4A3A"/>
    <w:rsid w:val="378E2D18"/>
    <w:rsid w:val="37EC8483"/>
    <w:rsid w:val="38710670"/>
    <w:rsid w:val="38882D97"/>
    <w:rsid w:val="38A24CCD"/>
    <w:rsid w:val="38EF3C8A"/>
    <w:rsid w:val="39AB195F"/>
    <w:rsid w:val="3A695377"/>
    <w:rsid w:val="3B5119C7"/>
    <w:rsid w:val="3BB04B82"/>
    <w:rsid w:val="3BBDBCF3"/>
    <w:rsid w:val="3BBF7944"/>
    <w:rsid w:val="3C7FD3EF"/>
    <w:rsid w:val="3CF25AF7"/>
    <w:rsid w:val="3D1DF564"/>
    <w:rsid w:val="3DC00139"/>
    <w:rsid w:val="3DC95963"/>
    <w:rsid w:val="3EBB3EC7"/>
    <w:rsid w:val="3EEF8072"/>
    <w:rsid w:val="3EFBB30E"/>
    <w:rsid w:val="3F6BB15C"/>
    <w:rsid w:val="3FFD82D3"/>
    <w:rsid w:val="412D7454"/>
    <w:rsid w:val="41AC2719"/>
    <w:rsid w:val="437C611B"/>
    <w:rsid w:val="43B27D8E"/>
    <w:rsid w:val="44E1092B"/>
    <w:rsid w:val="465D0485"/>
    <w:rsid w:val="468D7072"/>
    <w:rsid w:val="46AC6D17"/>
    <w:rsid w:val="46F078F8"/>
    <w:rsid w:val="46F5A07D"/>
    <w:rsid w:val="476F0470"/>
    <w:rsid w:val="47C774BF"/>
    <w:rsid w:val="47FAFBA2"/>
    <w:rsid w:val="485B6C46"/>
    <w:rsid w:val="485D476D"/>
    <w:rsid w:val="492D5972"/>
    <w:rsid w:val="4A34774F"/>
    <w:rsid w:val="4AB443EC"/>
    <w:rsid w:val="4ABE79DD"/>
    <w:rsid w:val="4B4B6AFE"/>
    <w:rsid w:val="4BD47AEE"/>
    <w:rsid w:val="4CB785BA"/>
    <w:rsid w:val="4D2A6BE7"/>
    <w:rsid w:val="4E1C4782"/>
    <w:rsid w:val="4E6D3230"/>
    <w:rsid w:val="4E946303"/>
    <w:rsid w:val="4EB04070"/>
    <w:rsid w:val="4EDE7C89"/>
    <w:rsid w:val="4FCF1B50"/>
    <w:rsid w:val="4FFE36AB"/>
    <w:rsid w:val="5252412C"/>
    <w:rsid w:val="52C26DCF"/>
    <w:rsid w:val="53281E1B"/>
    <w:rsid w:val="54680721"/>
    <w:rsid w:val="566273F2"/>
    <w:rsid w:val="56FE09EC"/>
    <w:rsid w:val="575A3DD1"/>
    <w:rsid w:val="575C2093"/>
    <w:rsid w:val="579932E7"/>
    <w:rsid w:val="57B747B1"/>
    <w:rsid w:val="58F24A5D"/>
    <w:rsid w:val="59694D38"/>
    <w:rsid w:val="5B4B0B9C"/>
    <w:rsid w:val="5B5C4D58"/>
    <w:rsid w:val="5CF60894"/>
    <w:rsid w:val="5D177188"/>
    <w:rsid w:val="5D6E48CE"/>
    <w:rsid w:val="5DBE9E96"/>
    <w:rsid w:val="5DC741A2"/>
    <w:rsid w:val="5E005E6E"/>
    <w:rsid w:val="5F683CCB"/>
    <w:rsid w:val="5FB505F4"/>
    <w:rsid w:val="5FDA3101"/>
    <w:rsid w:val="5FDBC823"/>
    <w:rsid w:val="5FF2D801"/>
    <w:rsid w:val="5FFB68ED"/>
    <w:rsid w:val="6094450B"/>
    <w:rsid w:val="60B62E5B"/>
    <w:rsid w:val="62B965EC"/>
    <w:rsid w:val="62E713AB"/>
    <w:rsid w:val="63416D0D"/>
    <w:rsid w:val="65D8322D"/>
    <w:rsid w:val="65FB5792"/>
    <w:rsid w:val="66012783"/>
    <w:rsid w:val="668F5FE1"/>
    <w:rsid w:val="66DBBD5A"/>
    <w:rsid w:val="670C433B"/>
    <w:rsid w:val="67BD5D65"/>
    <w:rsid w:val="682E35D8"/>
    <w:rsid w:val="68937A38"/>
    <w:rsid w:val="68DE9C16"/>
    <w:rsid w:val="693F1D4C"/>
    <w:rsid w:val="6A503CD9"/>
    <w:rsid w:val="6A6B466F"/>
    <w:rsid w:val="6B7F14B4"/>
    <w:rsid w:val="6C01543E"/>
    <w:rsid w:val="6C103946"/>
    <w:rsid w:val="6C4038DA"/>
    <w:rsid w:val="6D2C7FBA"/>
    <w:rsid w:val="6DC347C2"/>
    <w:rsid w:val="6DFE8E43"/>
    <w:rsid w:val="6E2C34C2"/>
    <w:rsid w:val="6E522248"/>
    <w:rsid w:val="6E930639"/>
    <w:rsid w:val="6EFB98EA"/>
    <w:rsid w:val="6F975F07"/>
    <w:rsid w:val="6FBA1760"/>
    <w:rsid w:val="6FD20DCD"/>
    <w:rsid w:val="6FE50A20"/>
    <w:rsid w:val="6FEF5C2D"/>
    <w:rsid w:val="70A42689"/>
    <w:rsid w:val="71004551"/>
    <w:rsid w:val="72FD2525"/>
    <w:rsid w:val="73B70FDE"/>
    <w:rsid w:val="74B66E2F"/>
    <w:rsid w:val="75912BC7"/>
    <w:rsid w:val="76487F5B"/>
    <w:rsid w:val="76A72ED3"/>
    <w:rsid w:val="76EC10F9"/>
    <w:rsid w:val="76FBF0FC"/>
    <w:rsid w:val="777EBF03"/>
    <w:rsid w:val="77EF8CA7"/>
    <w:rsid w:val="77FA299E"/>
    <w:rsid w:val="7816515F"/>
    <w:rsid w:val="78745037"/>
    <w:rsid w:val="79F04B91"/>
    <w:rsid w:val="7A603AC5"/>
    <w:rsid w:val="7A6510DB"/>
    <w:rsid w:val="7A8B5373"/>
    <w:rsid w:val="7AB95FAD"/>
    <w:rsid w:val="7B6F4B87"/>
    <w:rsid w:val="7B7339E4"/>
    <w:rsid w:val="7B9F0D35"/>
    <w:rsid w:val="7BB79A9B"/>
    <w:rsid w:val="7BDF6C6B"/>
    <w:rsid w:val="7BEF2784"/>
    <w:rsid w:val="7BFF83CA"/>
    <w:rsid w:val="7C3E3544"/>
    <w:rsid w:val="7CAF1B9D"/>
    <w:rsid w:val="7D190866"/>
    <w:rsid w:val="7D9D33DB"/>
    <w:rsid w:val="7DCFDD8D"/>
    <w:rsid w:val="7DE95589"/>
    <w:rsid w:val="7DFF22D4"/>
    <w:rsid w:val="7EBE8630"/>
    <w:rsid w:val="7EEC6371"/>
    <w:rsid w:val="7EFFB46A"/>
    <w:rsid w:val="7F310A5F"/>
    <w:rsid w:val="7F65BBDC"/>
    <w:rsid w:val="7F6C2901"/>
    <w:rsid w:val="7FA2D0AC"/>
    <w:rsid w:val="7FAE4540"/>
    <w:rsid w:val="7FC69F88"/>
    <w:rsid w:val="7FDF0F82"/>
    <w:rsid w:val="7FED7944"/>
    <w:rsid w:val="7FED807B"/>
    <w:rsid w:val="7FF6AB67"/>
    <w:rsid w:val="7FFC1965"/>
    <w:rsid w:val="7FFE8CAF"/>
    <w:rsid w:val="7FFEFF5C"/>
    <w:rsid w:val="9EFEB388"/>
    <w:rsid w:val="A7E77692"/>
    <w:rsid w:val="AF7B11A9"/>
    <w:rsid w:val="AFAB97B7"/>
    <w:rsid w:val="B59F5460"/>
    <w:rsid w:val="B9DF291B"/>
    <w:rsid w:val="BAE38F3F"/>
    <w:rsid w:val="BAE50480"/>
    <w:rsid w:val="BAFD05A1"/>
    <w:rsid w:val="BCED18D6"/>
    <w:rsid w:val="BD555700"/>
    <w:rsid w:val="BF473E07"/>
    <w:rsid w:val="BFFD3F23"/>
    <w:rsid w:val="C6AECC4A"/>
    <w:rsid w:val="CACE77BA"/>
    <w:rsid w:val="CCDD0A55"/>
    <w:rsid w:val="CD7B4923"/>
    <w:rsid w:val="CDBF785B"/>
    <w:rsid w:val="CEDFF824"/>
    <w:rsid w:val="D776EBC9"/>
    <w:rsid w:val="D7BEDD49"/>
    <w:rsid w:val="DBF7F148"/>
    <w:rsid w:val="DEF1A025"/>
    <w:rsid w:val="DF3F0561"/>
    <w:rsid w:val="DFDF33A8"/>
    <w:rsid w:val="E31F4997"/>
    <w:rsid w:val="E36B88E3"/>
    <w:rsid w:val="E6FB55A6"/>
    <w:rsid w:val="E75F4477"/>
    <w:rsid w:val="EA3ED165"/>
    <w:rsid w:val="EB7FAC2E"/>
    <w:rsid w:val="EDDF2DEC"/>
    <w:rsid w:val="EF7FFD53"/>
    <w:rsid w:val="EFBE2EDC"/>
    <w:rsid w:val="EFFF8858"/>
    <w:rsid w:val="F1B2394E"/>
    <w:rsid w:val="F377C059"/>
    <w:rsid w:val="F55F3A76"/>
    <w:rsid w:val="F77F9D5A"/>
    <w:rsid w:val="F7F36A38"/>
    <w:rsid w:val="F9BD4C32"/>
    <w:rsid w:val="FBD7C1AB"/>
    <w:rsid w:val="FDFE0057"/>
    <w:rsid w:val="FE3B6965"/>
    <w:rsid w:val="FEFDCC05"/>
    <w:rsid w:val="FF5E554E"/>
    <w:rsid w:val="FF8F69C6"/>
    <w:rsid w:val="FF9FB49D"/>
    <w:rsid w:val="FFAFB88A"/>
    <w:rsid w:val="FFBD8FEB"/>
    <w:rsid w:val="FFEE2F34"/>
    <w:rsid w:val="FFF7FDFE"/>
    <w:rsid w:val="FFF8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列表段落1"/>
    <w:basedOn w:val="1"/>
    <w:qFormat/>
    <w:uiPriority w:val="0"/>
    <w:pPr>
      <w:ind w:left="720"/>
      <w:contextualSpacing/>
    </w:pPr>
    <w:rPr>
      <w:rFonts w:ascii="Times New Roman" w:hAnsi="Times New Roman"/>
    </w:rPr>
  </w:style>
  <w:style w:type="paragraph" w:customStyle="1" w:styleId="8">
    <w:name w:val="列出段落1"/>
    <w:basedOn w:val="1"/>
    <w:qFormat/>
    <w:uiPriority w:val="0"/>
    <w:pPr>
      <w:ind w:left="720"/>
      <w:contextualSpacing/>
    </w:pPr>
  </w:style>
  <w:style w:type="character" w:customStyle="1" w:styleId="9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</w:rPr>
  </w:style>
  <w:style w:type="paragraph" w:customStyle="1" w:styleId="11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after="0" w:afterAutospacing="0"/>
      <w:ind w:left="720"/>
      <w:contextualSpacing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1</Lines>
  <Paragraphs>1</Paragraphs>
  <TotalTime>93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2024-04-12T21:25:00Z</dcterms:created>
  <dc:creator>GAI</dc:creator>
  <cp:lastModifiedBy>user</cp:lastModifiedBy>
  <cp:lastPrinted>2024-09-06T08:31:17Z</cp:lastPrinted>
  <dcterms:modified xsi:type="dcterms:W3CDTF">2024-09-06T08:31:20Z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ECCDDB6C257F434B88B483A1A9E9C9D4_13</vt:lpwstr>
  </property>
</Properties>
</file>