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00" w:lineRule="atLeast"/>
        <w:jc w:val="center"/>
        <w:rPr>
          <w:rFonts w:ascii="方正小标宋简体" w:eastAsia="方正小标宋简体"/>
          <w:sz w:val="36"/>
          <w:szCs w:val="36"/>
        </w:rPr>
      </w:pPr>
      <w:bookmarkStart w:id="0" w:name="_Toc31558"/>
      <w:bookmarkStart w:id="1" w:name="_Toc10972"/>
      <w:r>
        <w:rPr>
          <w:rFonts w:hint="eastAsia" w:ascii="方正小标宋简体" w:eastAsia="方正小标宋简体"/>
          <w:sz w:val="36"/>
          <w:szCs w:val="36"/>
        </w:rPr>
        <w:t>“宁企通”惠企综合服务平台企业空间</w:t>
      </w:r>
    </w:p>
    <w:p>
      <w:pPr>
        <w:spacing w:line="200" w:lineRule="atLeast"/>
        <w:jc w:val="center"/>
        <w:rPr>
          <w:rFonts w:ascii="方正小标宋简体" w:eastAsia="方正小标宋简体"/>
          <w:sz w:val="36"/>
          <w:szCs w:val="36"/>
        </w:rPr>
      </w:pPr>
      <w:r>
        <w:rPr>
          <w:rFonts w:hint="eastAsia" w:ascii="方正小标宋简体" w:eastAsia="方正小标宋简体"/>
          <w:sz w:val="36"/>
          <w:szCs w:val="36"/>
        </w:rPr>
        <w:t>激活授权操作手册</w:t>
      </w:r>
      <w:bookmarkEnd w:id="0"/>
      <w:bookmarkEnd w:id="1"/>
      <w:bookmarkStart w:id="2" w:name="_Toc23650"/>
    </w:p>
    <w:p>
      <w:pPr>
        <w:pStyle w:val="2"/>
        <w:spacing w:line="276" w:lineRule="auto"/>
        <w:rPr>
          <w:rFonts w:ascii="微软雅黑"/>
          <w:sz w:val="32"/>
          <w:szCs w:val="36"/>
        </w:rPr>
      </w:pPr>
      <w:r>
        <w:rPr>
          <w:rFonts w:hint="eastAsia" w:ascii="微软雅黑"/>
          <w:sz w:val="32"/>
          <w:szCs w:val="36"/>
        </w:rPr>
        <w:t>访问</w:t>
      </w:r>
      <w:r>
        <w:rPr>
          <w:rFonts w:ascii="微软雅黑"/>
          <w:sz w:val="32"/>
          <w:szCs w:val="36"/>
        </w:rPr>
        <w:t>平台</w:t>
      </w:r>
    </w:p>
    <w:p>
      <w:pPr>
        <w:pStyle w:val="13"/>
        <w:spacing w:beforeAutospacing="0" w:afterAutospacing="0"/>
        <w:rPr>
          <w:rFonts w:cs="Arial"/>
          <w:kern w:val="2"/>
          <w:sz w:val="21"/>
          <w:szCs w:val="21"/>
        </w:rPr>
      </w:pPr>
      <w:r>
        <w:rPr>
          <w:rFonts w:cs="Arial"/>
          <w:kern w:val="2"/>
          <w:sz w:val="21"/>
          <w:szCs w:val="21"/>
        </w:rPr>
        <w:t>1</w:t>
      </w:r>
      <w:r>
        <w:rPr>
          <w:rFonts w:hint="eastAsia" w:cs="Arial"/>
          <w:kern w:val="2"/>
          <w:sz w:val="21"/>
          <w:szCs w:val="21"/>
        </w:rPr>
        <w:t>、</w:t>
      </w:r>
      <w:r>
        <w:rPr>
          <w:rFonts w:cs="Arial"/>
          <w:kern w:val="2"/>
          <w:sz w:val="21"/>
          <w:szCs w:val="21"/>
        </w:rPr>
        <w:t>网址</w:t>
      </w:r>
      <w:r>
        <w:rPr>
          <w:rFonts w:hint="eastAsia" w:cs="Arial"/>
          <w:kern w:val="2"/>
          <w:sz w:val="21"/>
          <w:szCs w:val="21"/>
        </w:rPr>
        <w:t>访问</w:t>
      </w:r>
      <w:r>
        <w:rPr>
          <w:rFonts w:cs="Arial"/>
          <w:kern w:val="2"/>
          <w:sz w:val="21"/>
          <w:szCs w:val="21"/>
        </w:rPr>
        <w:t>：http://nqt.nanjing.gov.cn</w:t>
      </w:r>
    </w:p>
    <w:p>
      <w:pPr>
        <w:rPr>
          <w:sz w:val="21"/>
          <w:szCs w:val="21"/>
        </w:rPr>
      </w:pPr>
      <w:r>
        <w:rPr>
          <w:rFonts w:hint="eastAsia"/>
          <w:sz w:val="21"/>
          <w:szCs w:val="21"/>
        </w:rPr>
        <w:t>2、访问</w:t>
      </w:r>
      <w:r>
        <w:rPr>
          <w:sz w:val="21"/>
          <w:szCs w:val="21"/>
        </w:rPr>
        <w:t>江苏政策服务</w:t>
      </w:r>
      <w:r>
        <w:rPr>
          <w:rFonts w:hint="eastAsia"/>
          <w:sz w:val="21"/>
          <w:szCs w:val="21"/>
        </w:rPr>
        <w:t>网</w:t>
      </w:r>
      <w:r>
        <w:rPr>
          <w:sz w:val="21"/>
          <w:szCs w:val="21"/>
        </w:rPr>
        <w:t>，将“</w:t>
      </w:r>
      <w:r>
        <w:rPr>
          <w:rFonts w:hint="eastAsia"/>
          <w:sz w:val="21"/>
          <w:szCs w:val="21"/>
        </w:rPr>
        <w:t>切</w:t>
      </w:r>
      <w:r>
        <w:rPr>
          <w:sz w:val="21"/>
          <w:szCs w:val="21"/>
        </w:rPr>
        <w:t>换区域”</w:t>
      </w:r>
      <w:r>
        <w:rPr>
          <w:rFonts w:hint="eastAsia"/>
          <w:sz w:val="21"/>
          <w:szCs w:val="21"/>
        </w:rPr>
        <w:t>选</w:t>
      </w:r>
      <w:r>
        <w:rPr>
          <w:sz w:val="21"/>
          <w:szCs w:val="21"/>
        </w:rPr>
        <w:t>为南</w:t>
      </w:r>
      <w:r>
        <w:rPr>
          <w:rFonts w:hint="eastAsia"/>
          <w:sz w:val="21"/>
          <w:szCs w:val="21"/>
        </w:rPr>
        <w:t>京市</w:t>
      </w:r>
      <w:r>
        <w:rPr>
          <w:sz w:val="21"/>
          <w:szCs w:val="21"/>
        </w:rPr>
        <w:t>，</w:t>
      </w:r>
      <w:r>
        <w:rPr>
          <w:rFonts w:hint="eastAsia"/>
          <w:sz w:val="21"/>
          <w:szCs w:val="21"/>
        </w:rPr>
        <w:t>页面</w:t>
      </w:r>
      <w:r>
        <w:rPr>
          <w:sz w:val="21"/>
          <w:szCs w:val="21"/>
        </w:rPr>
        <w:t>切换至南京政务</w:t>
      </w:r>
      <w:r>
        <w:rPr>
          <w:rFonts w:hint="eastAsia"/>
          <w:sz w:val="21"/>
          <w:szCs w:val="21"/>
        </w:rPr>
        <w:t>服务</w:t>
      </w:r>
      <w:r>
        <w:rPr>
          <w:sz w:val="21"/>
          <w:szCs w:val="21"/>
        </w:rPr>
        <w:t>旗舰店，</w:t>
      </w:r>
      <w:r>
        <w:rPr>
          <w:rFonts w:hint="eastAsia"/>
          <w:sz w:val="21"/>
          <w:szCs w:val="21"/>
        </w:rPr>
        <w:t>在</w:t>
      </w:r>
      <w:r>
        <w:rPr>
          <w:sz w:val="21"/>
          <w:szCs w:val="21"/>
        </w:rPr>
        <w:t>“</w:t>
      </w:r>
      <w:r>
        <w:rPr>
          <w:rFonts w:hint="eastAsia"/>
          <w:sz w:val="21"/>
          <w:szCs w:val="21"/>
        </w:rPr>
        <w:t>特色</w:t>
      </w:r>
      <w:r>
        <w:rPr>
          <w:sz w:val="21"/>
          <w:szCs w:val="21"/>
        </w:rPr>
        <w:t>创新”</w:t>
      </w:r>
      <w:r>
        <w:rPr>
          <w:rFonts w:hint="eastAsia"/>
          <w:sz w:val="21"/>
          <w:szCs w:val="21"/>
        </w:rPr>
        <w:t>模块</w:t>
      </w:r>
      <w:r>
        <w:rPr>
          <w:sz w:val="21"/>
          <w:szCs w:val="21"/>
        </w:rPr>
        <w:t>选择“</w:t>
      </w:r>
      <w:r>
        <w:rPr>
          <w:rFonts w:hint="eastAsia"/>
          <w:sz w:val="21"/>
          <w:szCs w:val="21"/>
        </w:rPr>
        <w:t>宁</w:t>
      </w:r>
      <w:r>
        <w:rPr>
          <w:sz w:val="21"/>
          <w:szCs w:val="21"/>
        </w:rPr>
        <w:t>企通”</w:t>
      </w:r>
      <w:r>
        <w:rPr>
          <w:rFonts w:hint="eastAsia"/>
          <w:sz w:val="21"/>
          <w:szCs w:val="21"/>
        </w:rPr>
        <w:t>图</w:t>
      </w:r>
      <w:r>
        <w:rPr>
          <w:sz w:val="21"/>
          <w:szCs w:val="21"/>
        </w:rPr>
        <w:t>标。</w:t>
      </w:r>
    </w:p>
    <w:p>
      <w:r>
        <w:drawing>
          <wp:inline distT="0" distB="0" distL="0" distR="0">
            <wp:extent cx="5270500" cy="3046730"/>
            <wp:effectExtent l="0" t="0" r="6350" b="12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4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76" w:lineRule="auto"/>
        <w:rPr>
          <w:rFonts w:ascii="微软雅黑"/>
          <w:sz w:val="32"/>
          <w:szCs w:val="36"/>
        </w:rPr>
      </w:pPr>
      <w:r>
        <w:rPr>
          <w:rFonts w:hint="eastAsia" w:ascii="微软雅黑"/>
          <w:sz w:val="32"/>
          <w:szCs w:val="36"/>
        </w:rPr>
        <w:t>激活企业空间</w:t>
      </w:r>
      <w:bookmarkEnd w:id="2"/>
      <w:bookmarkStart w:id="3" w:name="_Toc5083"/>
    </w:p>
    <w:p>
      <w:pPr>
        <w:rPr>
          <w:sz w:val="20"/>
          <w:szCs w:val="21"/>
        </w:rPr>
      </w:pPr>
      <w:r>
        <w:rPr>
          <w:rFonts w:hint="eastAsia"/>
          <w:sz w:val="20"/>
          <w:szCs w:val="21"/>
        </w:rPr>
        <w:t>进入“宁企通”惠企综合服务平台，若</w:t>
      </w:r>
      <w:r>
        <w:rPr>
          <w:sz w:val="20"/>
          <w:szCs w:val="21"/>
        </w:rPr>
        <w:t>您是</w:t>
      </w:r>
      <w:r>
        <w:rPr>
          <w:rFonts w:hint="eastAsia"/>
          <w:sz w:val="20"/>
          <w:szCs w:val="21"/>
        </w:rPr>
        <w:t>游客</w:t>
      </w:r>
      <w:r>
        <w:rPr>
          <w:sz w:val="20"/>
          <w:szCs w:val="21"/>
        </w:rPr>
        <w:t>身份，</w:t>
      </w:r>
      <w:r>
        <w:rPr>
          <w:rFonts w:hint="eastAsia"/>
          <w:sz w:val="20"/>
          <w:szCs w:val="21"/>
        </w:rPr>
        <w:t>可在</w:t>
      </w:r>
      <w:r>
        <w:rPr>
          <w:sz w:val="20"/>
          <w:szCs w:val="21"/>
        </w:rPr>
        <w:t>本平台</w:t>
      </w:r>
      <w:r>
        <w:rPr>
          <w:rFonts w:hint="eastAsia"/>
          <w:sz w:val="20"/>
          <w:szCs w:val="21"/>
        </w:rPr>
        <w:t>使</w:t>
      </w:r>
      <w:r>
        <w:rPr>
          <w:sz w:val="20"/>
          <w:szCs w:val="21"/>
        </w:rPr>
        <w:t>用政策</w:t>
      </w:r>
      <w:r>
        <w:rPr>
          <w:rFonts w:hint="eastAsia"/>
          <w:sz w:val="20"/>
          <w:szCs w:val="21"/>
        </w:rPr>
        <w:t>超</w:t>
      </w:r>
      <w:r>
        <w:rPr>
          <w:sz w:val="20"/>
          <w:szCs w:val="21"/>
        </w:rPr>
        <w:t>市、</w:t>
      </w:r>
      <w:r>
        <w:rPr>
          <w:rFonts w:hint="eastAsia"/>
          <w:sz w:val="20"/>
          <w:szCs w:val="21"/>
        </w:rPr>
        <w:t>政策</w:t>
      </w:r>
      <w:r>
        <w:rPr>
          <w:sz w:val="20"/>
          <w:szCs w:val="21"/>
        </w:rPr>
        <w:t>匹配、</w:t>
      </w:r>
      <w:r>
        <w:rPr>
          <w:rFonts w:hint="eastAsia"/>
          <w:sz w:val="20"/>
          <w:szCs w:val="21"/>
        </w:rPr>
        <w:t>申报</w:t>
      </w:r>
      <w:r>
        <w:rPr>
          <w:sz w:val="20"/>
          <w:szCs w:val="21"/>
        </w:rPr>
        <w:t>通告、政</w:t>
      </w:r>
      <w:r>
        <w:rPr>
          <w:rFonts w:hint="eastAsia"/>
          <w:sz w:val="20"/>
          <w:szCs w:val="21"/>
        </w:rPr>
        <w:t>策订阅等</w:t>
      </w:r>
      <w:r>
        <w:rPr>
          <w:sz w:val="20"/>
          <w:szCs w:val="21"/>
        </w:rPr>
        <w:t>功能模块</w:t>
      </w:r>
      <w:r>
        <w:rPr>
          <w:rFonts w:hint="eastAsia"/>
          <w:sz w:val="20"/>
          <w:szCs w:val="21"/>
        </w:rPr>
        <w:t>。</w:t>
      </w:r>
    </w:p>
    <w:p>
      <w:pPr>
        <w:rPr>
          <w:sz w:val="20"/>
          <w:szCs w:val="21"/>
        </w:rPr>
      </w:pPr>
      <w:r>
        <w:drawing>
          <wp:inline distT="0" distB="0" distL="0" distR="0">
            <wp:extent cx="5270500" cy="3310890"/>
            <wp:effectExtent l="0" t="0" r="6350" b="38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1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sz w:val="21"/>
          <w:szCs w:val="21"/>
        </w:rPr>
      </w:pPr>
      <w:r>
        <w:rPr>
          <w:rFonts w:hint="eastAsia"/>
          <w:sz w:val="20"/>
          <w:szCs w:val="21"/>
        </w:rPr>
        <w:t>若</w:t>
      </w:r>
      <w:r>
        <w:rPr>
          <w:sz w:val="20"/>
          <w:szCs w:val="21"/>
        </w:rPr>
        <w:t>您在本平台进行事项申报，则</w:t>
      </w:r>
      <w:r>
        <w:rPr>
          <w:rFonts w:hint="eastAsia"/>
          <w:sz w:val="20"/>
          <w:szCs w:val="21"/>
        </w:rPr>
        <w:t>需</w:t>
      </w:r>
      <w:r>
        <w:rPr>
          <w:sz w:val="20"/>
          <w:szCs w:val="21"/>
        </w:rPr>
        <w:t>完成</w:t>
      </w:r>
      <w:r>
        <w:rPr>
          <w:rFonts w:hint="eastAsia"/>
          <w:sz w:val="20"/>
          <w:szCs w:val="21"/>
        </w:rPr>
        <w:t>平台</w:t>
      </w:r>
      <w:r>
        <w:rPr>
          <w:sz w:val="20"/>
          <w:szCs w:val="21"/>
        </w:rPr>
        <w:t>注册登录</w:t>
      </w:r>
      <w:r>
        <w:rPr>
          <w:rFonts w:hint="eastAsia"/>
          <w:sz w:val="20"/>
          <w:szCs w:val="21"/>
        </w:rPr>
        <w:t>及</w:t>
      </w:r>
      <w:r>
        <w:rPr>
          <w:sz w:val="20"/>
          <w:szCs w:val="21"/>
        </w:rPr>
        <w:t>企业空间激活</w:t>
      </w:r>
      <w:r>
        <w:rPr>
          <w:rFonts w:hint="eastAsia"/>
          <w:sz w:val="20"/>
          <w:szCs w:val="21"/>
        </w:rPr>
        <w:t>工</w:t>
      </w:r>
      <w:r>
        <w:rPr>
          <w:sz w:val="20"/>
          <w:szCs w:val="21"/>
        </w:rPr>
        <w:t>作。</w:t>
      </w:r>
      <w:r>
        <w:rPr>
          <w:rFonts w:hint="eastAsia"/>
          <w:sz w:val="20"/>
          <w:szCs w:val="21"/>
        </w:rPr>
        <w:t>平台</w:t>
      </w:r>
      <w:r>
        <w:rPr>
          <w:sz w:val="20"/>
          <w:szCs w:val="21"/>
        </w:rPr>
        <w:t>目前</w:t>
      </w:r>
      <w:r>
        <w:rPr>
          <w:rFonts w:hint="eastAsia"/>
          <w:sz w:val="20"/>
          <w:szCs w:val="21"/>
        </w:rPr>
        <w:t>提供法</w:t>
      </w:r>
      <w:r>
        <w:rPr>
          <w:sz w:val="20"/>
          <w:szCs w:val="21"/>
        </w:rPr>
        <w:t>人账号登录和个人账号登录</w:t>
      </w:r>
      <w:r>
        <w:rPr>
          <w:rFonts w:hint="eastAsia"/>
          <w:sz w:val="20"/>
          <w:szCs w:val="21"/>
        </w:rPr>
        <w:t>两种</w:t>
      </w:r>
      <w:r>
        <w:rPr>
          <w:sz w:val="20"/>
          <w:szCs w:val="21"/>
        </w:rPr>
        <w:t>方式</w:t>
      </w:r>
      <w:r>
        <w:rPr>
          <w:rFonts w:hint="eastAsia"/>
          <w:sz w:val="20"/>
          <w:szCs w:val="21"/>
        </w:rPr>
        <w:t>，</w:t>
      </w:r>
      <w:r>
        <w:rPr>
          <w:sz w:val="20"/>
          <w:szCs w:val="21"/>
        </w:rPr>
        <w:t>其中</w:t>
      </w:r>
      <w:r>
        <w:rPr>
          <w:rFonts w:hint="eastAsia"/>
          <w:b/>
          <w:bCs/>
          <w:sz w:val="21"/>
          <w:szCs w:val="21"/>
        </w:rPr>
        <w:t>法人账号注册登录可直接进行申报无需激活企业空间，个人账号注册登录时则需完成激活企业空间步骤。</w:t>
      </w:r>
    </w:p>
    <w:p>
      <w:pPr>
        <w:pStyle w:val="3"/>
        <w:rPr>
          <w:sz w:val="28"/>
          <w:szCs w:val="32"/>
        </w:rPr>
      </w:pPr>
      <w:bookmarkStart w:id="7" w:name="_GoBack"/>
      <w:bookmarkEnd w:id="7"/>
      <w:r>
        <w:rPr>
          <w:rFonts w:hint="eastAsia"/>
          <w:sz w:val="28"/>
          <w:szCs w:val="32"/>
        </w:rPr>
        <w:t>法</w:t>
      </w:r>
      <w:r>
        <w:rPr>
          <w:sz w:val="28"/>
          <w:szCs w:val="32"/>
        </w:rPr>
        <w:t>人账号</w:t>
      </w:r>
      <w:r>
        <w:rPr>
          <w:rFonts w:hint="eastAsia"/>
          <w:sz w:val="28"/>
          <w:szCs w:val="32"/>
        </w:rPr>
        <w:t>注册</w:t>
      </w:r>
      <w:r>
        <w:rPr>
          <w:sz w:val="28"/>
          <w:szCs w:val="32"/>
        </w:rPr>
        <w:t>登录</w:t>
      </w:r>
    </w:p>
    <w:p>
      <w:r>
        <w:rPr>
          <w:rFonts w:hint="eastAsia" w:cs="Arial"/>
          <w:sz w:val="20"/>
          <w:szCs w:val="21"/>
          <w:lang w:val="en-US" w:eastAsia="zh-CN"/>
        </w:rPr>
        <w:t>已注册用户点击切换至法人登录，进行登录，未注册用户点击立即注册，进行注册。</w:t>
      </w:r>
      <w:r>
        <w:drawing>
          <wp:inline distT="0" distB="0" distL="114300" distR="114300">
            <wp:extent cx="5269230" cy="3066415"/>
            <wp:effectExtent l="0" t="0" r="1270" b="6985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06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/>
          <w:sz w:val="28"/>
          <w:szCs w:val="32"/>
        </w:rPr>
      </w:pPr>
      <w:r>
        <w:rPr>
          <w:rFonts w:hint="eastAsia"/>
          <w:sz w:val="28"/>
          <w:szCs w:val="32"/>
        </w:rPr>
        <w:t>个</w:t>
      </w:r>
      <w:r>
        <w:rPr>
          <w:sz w:val="28"/>
          <w:szCs w:val="32"/>
        </w:rPr>
        <w:t>人账号</w:t>
      </w:r>
      <w:r>
        <w:rPr>
          <w:rFonts w:hint="eastAsia"/>
          <w:sz w:val="28"/>
          <w:szCs w:val="32"/>
        </w:rPr>
        <w:t>注册登录</w:t>
      </w:r>
    </w:p>
    <w:p>
      <w:pPr>
        <w:rPr>
          <w:sz w:val="21"/>
          <w:szCs w:val="21"/>
        </w:rPr>
      </w:pPr>
      <w:r>
        <w:rPr>
          <w:rFonts w:hint="eastAsia" w:cs="Arial"/>
          <w:sz w:val="20"/>
          <w:szCs w:val="21"/>
          <w:lang w:val="en-US" w:eastAsia="zh-CN"/>
        </w:rPr>
        <w:t>已注册个人用户点击切换至登录，进行登录，未注册用户点击立即注册，进行注册。</w:t>
      </w:r>
    </w:p>
    <w:p>
      <w:r>
        <w:drawing>
          <wp:inline distT="0" distB="0" distL="0" distR="0">
            <wp:extent cx="5270500" cy="2786380"/>
            <wp:effectExtent l="0" t="0" r="635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8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sz w:val="28"/>
          <w:szCs w:val="32"/>
        </w:rPr>
      </w:pPr>
      <w:r>
        <w:rPr>
          <w:rFonts w:hint="eastAsia"/>
          <w:sz w:val="28"/>
          <w:szCs w:val="32"/>
        </w:rPr>
        <w:t>企业空间</w:t>
      </w:r>
      <w:r>
        <w:rPr>
          <w:sz w:val="28"/>
          <w:szCs w:val="32"/>
        </w:rPr>
        <w:t>激活</w:t>
      </w:r>
      <w:bookmarkEnd w:id="3"/>
    </w:p>
    <w:p>
      <w:pPr>
        <w:pStyle w:val="4"/>
        <w:rPr>
          <w:rFonts w:ascii="微软雅黑" w:eastAsia="微软雅黑"/>
          <w:b w:val="0"/>
          <w:bCs w:val="0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微软雅黑" w:eastAsia="微软雅黑"/>
          <w:b w:val="0"/>
          <w:bCs w:val="0"/>
          <w:color w:val="000000" w:themeColor="text1"/>
          <w14:textFill>
            <w14:solidFill>
              <w14:schemeClr w14:val="tx1"/>
            </w14:solidFill>
          </w14:textFill>
        </w:rPr>
        <w:t>若登录人员为单位法人代表</w:t>
      </w:r>
    </w:p>
    <w:p>
      <w:pPr>
        <w:rPr>
          <w:sz w:val="21"/>
          <w:szCs w:val="21"/>
        </w:rPr>
      </w:pPr>
      <w:r>
        <w:rPr>
          <w:rFonts w:hint="eastAsia"/>
          <w:sz w:val="21"/>
          <w:szCs w:val="21"/>
        </w:rPr>
        <w:t>当法人</w:t>
      </w:r>
      <w:r>
        <w:rPr>
          <w:rFonts w:hint="eastAsia"/>
          <w:sz w:val="21"/>
          <w:szCs w:val="21"/>
          <w:lang w:val="en-US" w:eastAsia="zh-CN"/>
        </w:rPr>
        <w:t>使用个人账户</w:t>
      </w:r>
      <w:r>
        <w:rPr>
          <w:rFonts w:hint="eastAsia"/>
          <w:sz w:val="21"/>
          <w:szCs w:val="21"/>
        </w:rPr>
        <w:t>第</w:t>
      </w:r>
      <w:r>
        <w:rPr>
          <w:sz w:val="21"/>
          <w:szCs w:val="21"/>
        </w:rPr>
        <w:t>一次</w:t>
      </w:r>
      <w:r>
        <w:rPr>
          <w:rFonts w:hint="eastAsia"/>
          <w:sz w:val="21"/>
          <w:szCs w:val="21"/>
        </w:rPr>
        <w:t>登录本平台进</w:t>
      </w:r>
      <w:r>
        <w:rPr>
          <w:sz w:val="21"/>
          <w:szCs w:val="21"/>
        </w:rPr>
        <w:t>行事项申</w:t>
      </w:r>
      <w:r>
        <w:rPr>
          <w:rFonts w:hint="eastAsia"/>
          <w:sz w:val="21"/>
          <w:szCs w:val="21"/>
        </w:rPr>
        <w:t>报</w:t>
      </w:r>
      <w:r>
        <w:rPr>
          <w:sz w:val="21"/>
          <w:szCs w:val="21"/>
        </w:rPr>
        <w:t>，</w:t>
      </w:r>
      <w:r>
        <w:rPr>
          <w:rFonts w:hint="eastAsia"/>
          <w:sz w:val="21"/>
          <w:szCs w:val="21"/>
        </w:rPr>
        <w:t>需激活企业</w:t>
      </w:r>
      <w:r>
        <w:rPr>
          <w:sz w:val="21"/>
          <w:szCs w:val="21"/>
        </w:rPr>
        <w:t>空间</w:t>
      </w:r>
      <w:r>
        <w:rPr>
          <w:rFonts w:hint="eastAsia"/>
          <w:sz w:val="21"/>
          <w:szCs w:val="21"/>
        </w:rPr>
        <w:t>，在界面右上角点击“去激活”。</w:t>
      </w:r>
    </w:p>
    <w:p>
      <w:pPr>
        <w:rPr>
          <w:spacing w:val="-3"/>
          <w:w w:val="95"/>
          <w:sz w:val="18"/>
          <w:szCs w:val="18"/>
        </w:rPr>
      </w:pPr>
      <w:r>
        <w:drawing>
          <wp:inline distT="0" distB="0" distL="0" distR="0">
            <wp:extent cx="5270500" cy="2375535"/>
            <wp:effectExtent l="0" t="0" r="6350" b="571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75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1"/>
          <w:szCs w:val="21"/>
        </w:rPr>
      </w:pPr>
      <w:r>
        <w:rPr>
          <w:rFonts w:hint="eastAsia"/>
          <w:sz w:val="21"/>
          <w:szCs w:val="21"/>
        </w:rPr>
        <w:t>进</w:t>
      </w:r>
      <w:r>
        <w:rPr>
          <w:sz w:val="21"/>
          <w:szCs w:val="21"/>
        </w:rPr>
        <w:t>入选择企业身份页面，</w:t>
      </w:r>
      <w:r>
        <w:rPr>
          <w:rFonts w:hint="eastAsia"/>
          <w:sz w:val="21"/>
          <w:szCs w:val="21"/>
        </w:rPr>
        <w:t>页面会显示所有您作为法人代表的公司名称列表，选中您要激活的公司，点击“激活企业空间”按钮，即可激活。</w:t>
      </w:r>
    </w:p>
    <w:p>
      <w:pPr>
        <w:rPr>
          <w:sz w:val="21"/>
          <w:szCs w:val="21"/>
        </w:rPr>
      </w:pPr>
      <w:r>
        <w:rPr>
          <w:sz w:val="21"/>
          <w:szCs w:val="21"/>
        </w:rPr>
        <w:drawing>
          <wp:inline distT="0" distB="0" distL="0" distR="0">
            <wp:extent cx="5270500" cy="2302510"/>
            <wp:effectExtent l="0" t="0" r="6350" b="2540"/>
            <wp:docPr id="3" name="图片 3" descr="C:\Users\ADMINI~1\AppData\Local\Temp\WeChat Files\95de13da698dcfe69519ef7616247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I~1\AppData\Local\Temp\WeChat Files\95de13da698dcfe69519ef761624767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02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2"/>
        </w:numPr>
        <w:rPr>
          <w:rFonts w:ascii="微软雅黑" w:eastAsia="微软雅黑"/>
          <w:b w:val="0"/>
          <w:bCs w:val="0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微软雅黑" w:eastAsia="微软雅黑"/>
          <w:b w:val="0"/>
          <w:bCs w:val="0"/>
          <w:color w:val="000000" w:themeColor="text1"/>
          <w14:textFill>
            <w14:solidFill>
              <w14:schemeClr w14:val="tx1"/>
            </w14:solidFill>
          </w14:textFill>
        </w:rPr>
        <w:t>若登录人员</w:t>
      </w:r>
      <w:r>
        <w:rPr>
          <w:rFonts w:hint="eastAsia" w:ascii="微软雅黑" w:eastAsia="微软雅黑"/>
          <w:b w:val="0"/>
          <w:bCs w:val="0"/>
          <w:color w:val="000000" w:themeColor="text1"/>
          <w14:textFill>
            <w14:solidFill>
              <w14:schemeClr w14:val="tx1"/>
            </w14:solidFill>
          </w14:textFill>
        </w:rPr>
        <w:t>不是</w:t>
      </w:r>
      <w:r>
        <w:rPr>
          <w:rFonts w:ascii="微软雅黑" w:eastAsia="微软雅黑"/>
          <w:b w:val="0"/>
          <w:bCs w:val="0"/>
          <w:color w:val="000000" w:themeColor="text1"/>
          <w14:textFill>
            <w14:solidFill>
              <w14:schemeClr w14:val="tx1"/>
            </w14:solidFill>
          </w14:textFill>
        </w:rPr>
        <w:t>单位法人代表</w:t>
      </w:r>
    </w:p>
    <w:p>
      <w:pPr>
        <w:rPr>
          <w:sz w:val="21"/>
          <w:szCs w:val="21"/>
        </w:rPr>
      </w:pPr>
      <w:r>
        <w:rPr>
          <w:rFonts w:hint="eastAsia"/>
          <w:sz w:val="21"/>
          <w:szCs w:val="21"/>
        </w:rPr>
        <w:t>当非单位</w:t>
      </w:r>
      <w:r>
        <w:rPr>
          <w:sz w:val="21"/>
          <w:szCs w:val="21"/>
        </w:rPr>
        <w:t>法人</w:t>
      </w:r>
      <w:r>
        <w:rPr>
          <w:rFonts w:hint="eastAsia"/>
          <w:sz w:val="21"/>
          <w:szCs w:val="21"/>
          <w:lang w:val="en-US" w:eastAsia="zh-CN"/>
        </w:rPr>
        <w:t>使用个人账户</w:t>
      </w:r>
      <w:r>
        <w:rPr>
          <w:rFonts w:hint="eastAsia"/>
          <w:sz w:val="21"/>
          <w:szCs w:val="21"/>
        </w:rPr>
        <w:t>第</w:t>
      </w:r>
      <w:r>
        <w:rPr>
          <w:sz w:val="21"/>
          <w:szCs w:val="21"/>
        </w:rPr>
        <w:t>一次</w:t>
      </w:r>
      <w:r>
        <w:rPr>
          <w:rFonts w:hint="eastAsia"/>
          <w:sz w:val="21"/>
          <w:szCs w:val="21"/>
        </w:rPr>
        <w:t>登录本平台进</w:t>
      </w:r>
      <w:r>
        <w:rPr>
          <w:sz w:val="21"/>
          <w:szCs w:val="21"/>
        </w:rPr>
        <w:t>行事项申</w:t>
      </w:r>
      <w:r>
        <w:rPr>
          <w:rFonts w:hint="eastAsia"/>
          <w:sz w:val="21"/>
          <w:szCs w:val="21"/>
        </w:rPr>
        <w:t>报</w:t>
      </w:r>
      <w:r>
        <w:rPr>
          <w:sz w:val="21"/>
          <w:szCs w:val="21"/>
        </w:rPr>
        <w:t>，</w:t>
      </w:r>
      <w:r>
        <w:rPr>
          <w:rFonts w:hint="eastAsia"/>
          <w:sz w:val="21"/>
          <w:szCs w:val="21"/>
        </w:rPr>
        <w:t>需激活企业</w:t>
      </w:r>
      <w:r>
        <w:rPr>
          <w:sz w:val="21"/>
          <w:szCs w:val="21"/>
        </w:rPr>
        <w:t>空间</w:t>
      </w:r>
      <w:r>
        <w:rPr>
          <w:rFonts w:hint="eastAsia"/>
          <w:sz w:val="21"/>
          <w:szCs w:val="21"/>
        </w:rPr>
        <w:t>，在界面右上角点击“去申请”。</w:t>
      </w:r>
    </w:p>
    <w:p>
      <w:pPr>
        <w:rPr>
          <w:sz w:val="21"/>
          <w:szCs w:val="21"/>
        </w:rPr>
      </w:pPr>
      <w:r>
        <w:rPr>
          <w:rFonts w:hint="eastAsia"/>
          <w:sz w:val="21"/>
          <w:szCs w:val="21"/>
        </w:rPr>
        <w:drawing>
          <wp:inline distT="0" distB="0" distL="0" distR="0">
            <wp:extent cx="5429250" cy="2418715"/>
            <wp:effectExtent l="0" t="0" r="6350" b="698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241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1"/>
          <w:szCs w:val="21"/>
        </w:rPr>
      </w:pPr>
      <w:r>
        <w:rPr>
          <w:rFonts w:hint="eastAsia"/>
          <w:sz w:val="21"/>
          <w:szCs w:val="21"/>
        </w:rPr>
        <w:t>进</w:t>
      </w:r>
      <w:r>
        <w:rPr>
          <w:sz w:val="21"/>
          <w:szCs w:val="21"/>
        </w:rPr>
        <w:t>入选择企业身份页面</w:t>
      </w:r>
      <w:r>
        <w:rPr>
          <w:rFonts w:hint="eastAsia"/>
          <w:sz w:val="21"/>
          <w:szCs w:val="21"/>
        </w:rPr>
        <w:t>，点击</w:t>
      </w:r>
      <w:r>
        <w:rPr>
          <w:sz w:val="21"/>
          <w:szCs w:val="21"/>
        </w:rPr>
        <w:t xml:space="preserve"> “</w:t>
      </w:r>
      <w:r>
        <w:rPr>
          <w:rFonts w:hint="eastAsia"/>
          <w:sz w:val="21"/>
          <w:szCs w:val="21"/>
        </w:rPr>
        <w:t>企业激活状态查询</w:t>
      </w:r>
      <w:r>
        <w:rPr>
          <w:sz w:val="21"/>
          <w:szCs w:val="21"/>
        </w:rPr>
        <w:t>”</w:t>
      </w:r>
      <w:r>
        <w:rPr>
          <w:rFonts w:hint="eastAsia"/>
          <w:sz w:val="21"/>
          <w:szCs w:val="21"/>
        </w:rPr>
        <w:t>按钮，输入统一社会信用代码，查询企业当前状态。</w:t>
      </w:r>
      <w:r>
        <w:drawing>
          <wp:inline distT="0" distB="0" distL="114300" distR="114300">
            <wp:extent cx="5268595" cy="2656840"/>
            <wp:effectExtent l="0" t="0" r="1905" b="1016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5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t xml:space="preserve"> </w:t>
      </w:r>
      <w:r>
        <w:drawing>
          <wp:inline distT="0" distB="0" distL="114300" distR="114300">
            <wp:extent cx="5265420" cy="2651760"/>
            <wp:effectExtent l="0" t="0" r="5080" b="2540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14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</w:pPr>
      <w:bookmarkStart w:id="4" w:name="_Toc7202"/>
      <w:r>
        <w:rPr>
          <w:rFonts w:hint="eastAsia"/>
        </w:rPr>
        <w:t>企业</w:t>
      </w:r>
      <w:r>
        <w:t>空间</w:t>
      </w:r>
      <w:r>
        <w:rPr>
          <w:rFonts w:hint="eastAsia"/>
        </w:rPr>
        <w:t>未激活</w:t>
      </w:r>
      <w:bookmarkEnd w:id="4"/>
    </w:p>
    <w:p>
      <w:pPr>
        <w:rPr>
          <w:sz w:val="21"/>
          <w:szCs w:val="21"/>
        </w:rPr>
      </w:pPr>
      <w:r>
        <w:rPr>
          <w:rFonts w:hint="eastAsia"/>
          <w:sz w:val="21"/>
          <w:szCs w:val="21"/>
        </w:rPr>
        <w:t>若企业未激活，您可以通过</w:t>
      </w:r>
      <w:r>
        <w:t>“</w:t>
      </w:r>
      <w:r>
        <w:rPr>
          <w:sz w:val="21"/>
          <w:szCs w:val="21"/>
        </w:rPr>
        <w:t>通知法人</w:t>
      </w:r>
      <w:r>
        <w:rPr>
          <w:rFonts w:hint="eastAsia"/>
          <w:sz w:val="21"/>
          <w:szCs w:val="21"/>
        </w:rPr>
        <w:t>线</w:t>
      </w:r>
      <w:r>
        <w:rPr>
          <w:sz w:val="21"/>
          <w:szCs w:val="21"/>
        </w:rPr>
        <w:t>上激活</w:t>
      </w:r>
      <w:r>
        <w:t>”</w:t>
      </w:r>
      <w:r>
        <w:rPr>
          <w:rFonts w:hint="eastAsia"/>
        </w:rPr>
        <w:t>、</w:t>
      </w:r>
      <w:r>
        <w:t>“</w:t>
      </w:r>
      <w:r>
        <w:rPr>
          <w:rFonts w:hint="eastAsia"/>
          <w:sz w:val="21"/>
          <w:szCs w:val="21"/>
        </w:rPr>
        <w:t>线上申请线</w:t>
      </w:r>
      <w:r>
        <w:rPr>
          <w:sz w:val="21"/>
          <w:szCs w:val="21"/>
        </w:rPr>
        <w:t>下核验</w:t>
      </w:r>
      <w:r>
        <w:rPr>
          <w:rFonts w:hint="eastAsia"/>
          <w:sz w:val="21"/>
          <w:szCs w:val="21"/>
        </w:rPr>
        <w:t>“</w:t>
      </w:r>
      <w:r>
        <w:rPr>
          <w:rFonts w:hint="eastAsia"/>
        </w:rPr>
        <w:t>、</w:t>
      </w:r>
      <w:r>
        <w:t>“</w:t>
      </w:r>
      <w:r>
        <w:rPr>
          <w:rFonts w:hint="eastAsia"/>
          <w:sz w:val="21"/>
          <w:szCs w:val="21"/>
        </w:rPr>
        <w:t>线下申请授权激活</w:t>
      </w:r>
      <w:r>
        <w:t>”</w:t>
      </w:r>
      <w:r>
        <w:rPr>
          <w:rFonts w:hint="eastAsia"/>
          <w:sz w:val="21"/>
          <w:szCs w:val="21"/>
        </w:rPr>
        <w:t>三种方式激活企业</w:t>
      </w:r>
      <w:r>
        <w:rPr>
          <w:sz w:val="21"/>
          <w:szCs w:val="21"/>
        </w:rPr>
        <w:t>空间</w:t>
      </w:r>
      <w:r>
        <w:rPr>
          <w:rFonts w:hint="eastAsia"/>
          <w:sz w:val="21"/>
          <w:szCs w:val="21"/>
        </w:rPr>
        <w:t>。</w:t>
      </w:r>
    </w:p>
    <w:p>
      <w:pPr>
        <w:rPr>
          <w:sz w:val="21"/>
          <w:szCs w:val="21"/>
        </w:rPr>
      </w:pPr>
      <w:r>
        <w:drawing>
          <wp:inline distT="0" distB="0" distL="0" distR="0">
            <wp:extent cx="5270500" cy="2306955"/>
            <wp:effectExtent l="0" t="0" r="635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0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color w:val="FF0000"/>
        </w:rPr>
      </w:pPr>
      <w:r>
        <w:rPr>
          <w:rFonts w:hint="eastAsia"/>
          <w:sz w:val="21"/>
          <w:szCs w:val="21"/>
        </w:rPr>
        <w:t>注：因疫情防控需要，部分区（园区）政务中心可能关闭，具体信息</w:t>
      </w:r>
      <w:r>
        <w:rPr>
          <w:sz w:val="21"/>
          <w:szCs w:val="21"/>
        </w:rPr>
        <w:t>各区公告为准</w:t>
      </w:r>
      <w:r>
        <w:rPr>
          <w:rFonts w:hint="eastAsia"/>
          <w:sz w:val="21"/>
          <w:szCs w:val="21"/>
        </w:rPr>
        <w:t>；市</w:t>
      </w:r>
      <w:r>
        <w:rPr>
          <w:sz w:val="21"/>
          <w:szCs w:val="21"/>
        </w:rPr>
        <w:t>政务中心</w:t>
      </w:r>
      <w:r>
        <w:rPr>
          <w:rFonts w:hint="eastAsia"/>
          <w:sz w:val="21"/>
          <w:szCs w:val="21"/>
        </w:rPr>
        <w:t>咨询</w:t>
      </w:r>
      <w:r>
        <w:rPr>
          <w:sz w:val="21"/>
          <w:szCs w:val="21"/>
        </w:rPr>
        <w:t>电话</w:t>
      </w:r>
      <w:r>
        <w:rPr>
          <w:rFonts w:hint="eastAsia"/>
          <w:sz w:val="21"/>
          <w:szCs w:val="21"/>
        </w:rPr>
        <w:t>：025-68505888.</w:t>
      </w:r>
      <w:r>
        <w:rPr>
          <w:color w:val="FF0000"/>
        </w:rPr>
        <w:t xml:space="preserve"> </w:t>
      </w:r>
    </w:p>
    <w:p>
      <w:pPr>
        <w:pStyle w:val="5"/>
      </w:pPr>
      <w:bookmarkStart w:id="5" w:name="_Toc28372"/>
      <w:r>
        <w:rPr>
          <w:rFonts w:hint="eastAsia"/>
        </w:rPr>
        <w:t>企业空间已激活</w:t>
      </w:r>
      <w:bookmarkEnd w:id="5"/>
    </w:p>
    <w:p>
      <w:pPr>
        <w:rPr>
          <w:b/>
          <w:sz w:val="21"/>
          <w:szCs w:val="21"/>
        </w:rPr>
      </w:pPr>
      <w:r>
        <w:rPr>
          <w:rFonts w:hint="eastAsia"/>
          <w:sz w:val="21"/>
          <w:szCs w:val="21"/>
        </w:rPr>
        <w:t>若企业空间已激活，您可申请企业空间授权。</w:t>
      </w:r>
    </w:p>
    <w:p>
      <w:pPr>
        <w:pStyle w:val="4"/>
        <w:spacing w:line="276" w:lineRule="auto"/>
      </w:pPr>
      <w:bookmarkStart w:id="6" w:name="_Toc26783"/>
      <w:r>
        <w:rPr>
          <w:rFonts w:hint="eastAsia" w:ascii="微软雅黑" w:eastAsia="微软雅黑"/>
        </w:rPr>
        <w:t>企业空间授权</w:t>
      </w:r>
      <w:bookmarkEnd w:id="6"/>
    </w:p>
    <w:p>
      <w:r>
        <w:rPr>
          <w:sz w:val="21"/>
          <w:szCs w:val="21"/>
        </w:rPr>
        <w:t>企业空间</w:t>
      </w:r>
      <w:r>
        <w:rPr>
          <w:rFonts w:hint="eastAsia"/>
          <w:sz w:val="21"/>
          <w:szCs w:val="21"/>
        </w:rPr>
        <w:t>已激活，您</w:t>
      </w:r>
      <w:r>
        <w:rPr>
          <w:sz w:val="21"/>
          <w:szCs w:val="21"/>
        </w:rPr>
        <w:t>可</w:t>
      </w:r>
      <w:r>
        <w:rPr>
          <w:rFonts w:hint="eastAsia"/>
          <w:sz w:val="21"/>
          <w:szCs w:val="21"/>
        </w:rPr>
        <w:t>通过“法人或管理员添加授权”和</w:t>
      </w:r>
      <w:r>
        <w:rPr>
          <w:sz w:val="21"/>
          <w:szCs w:val="21"/>
        </w:rPr>
        <w:t>"</w:t>
      </w:r>
      <w:r>
        <w:rPr>
          <w:rFonts w:hint="eastAsia"/>
          <w:sz w:val="21"/>
          <w:szCs w:val="21"/>
        </w:rPr>
        <w:t>短信授权</w:t>
      </w:r>
      <w:r>
        <w:rPr>
          <w:sz w:val="21"/>
          <w:szCs w:val="21"/>
        </w:rPr>
        <w:t>”</w:t>
      </w:r>
      <w:r>
        <w:rPr>
          <w:rFonts w:hint="eastAsia"/>
          <w:sz w:val="21"/>
          <w:szCs w:val="21"/>
        </w:rPr>
        <w:t>两种方式申请权限。</w:t>
      </w:r>
    </w:p>
    <w:p>
      <w:pPr>
        <w:pStyle w:val="6"/>
        <w:ind w:right="117"/>
        <w:rPr>
          <w:rFonts w:ascii="微软雅黑" w:hAnsi="微软雅黑" w:cs="微软雅黑"/>
          <w:spacing w:val="-3"/>
          <w:w w:val="95"/>
          <w:sz w:val="24"/>
          <w:szCs w:val="24"/>
        </w:rPr>
      </w:pPr>
      <w:r>
        <w:drawing>
          <wp:inline distT="0" distB="0" distL="114300" distR="114300">
            <wp:extent cx="5263515" cy="2850515"/>
            <wp:effectExtent l="0" t="0" r="6985" b="6985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85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cs="微软雅黑"/>
          <w:spacing w:val="-3"/>
          <w:w w:val="95"/>
          <w:sz w:val="24"/>
          <w:szCs w:val="24"/>
        </w:rPr>
        <w:t>方式一：法人或管理员添加授权</w:t>
      </w:r>
    </w:p>
    <w:p>
      <w:pPr>
        <w:ind w:firstLine="420" w:firstLineChars="200"/>
        <w:rPr>
          <w:rFonts w:ascii="微软雅黑" w:hAnsi="微软雅黑" w:cs="微软雅黑"/>
          <w:sz w:val="21"/>
          <w:szCs w:val="21"/>
        </w:rPr>
      </w:pPr>
      <w:r>
        <w:rPr>
          <w:rFonts w:hint="eastAsia" w:ascii="微软雅黑" w:hAnsi="微软雅黑" w:cs="微软雅黑"/>
          <w:sz w:val="21"/>
          <w:szCs w:val="21"/>
        </w:rPr>
        <w:t>1、单位法定代表人或管理员登录</w:t>
      </w:r>
      <w:r>
        <w:rPr>
          <w:rFonts w:ascii="微软雅黑" w:hAnsi="微软雅黑" w:cs="微软雅黑"/>
          <w:sz w:val="21"/>
          <w:szCs w:val="21"/>
        </w:rPr>
        <w:t>平台，</w:t>
      </w:r>
      <w:r>
        <w:rPr>
          <w:rFonts w:hint="eastAsia" w:ascii="微软雅黑" w:hAnsi="微软雅黑" w:cs="微软雅黑"/>
          <w:sz w:val="21"/>
          <w:szCs w:val="21"/>
        </w:rPr>
        <w:t>选择</w:t>
      </w:r>
      <w:r>
        <w:rPr>
          <w:rFonts w:ascii="微软雅黑" w:hAnsi="微软雅黑" w:cs="微软雅黑"/>
          <w:sz w:val="21"/>
          <w:szCs w:val="21"/>
        </w:rPr>
        <w:t>企业空间，</w:t>
      </w:r>
      <w:r>
        <w:rPr>
          <w:rFonts w:hint="eastAsia" w:ascii="微软雅黑" w:hAnsi="微软雅黑" w:cs="微软雅黑"/>
          <w:sz w:val="21"/>
          <w:szCs w:val="21"/>
        </w:rPr>
        <w:t>在授权管理模块，可添加其他人作为单位的不同角色。</w:t>
      </w:r>
    </w:p>
    <w:p>
      <w:pPr>
        <w:ind w:firstLine="420" w:firstLineChars="200"/>
        <w:rPr>
          <w:rFonts w:ascii="微软雅黑" w:hAnsi="微软雅黑" w:cs="微软雅黑"/>
          <w:sz w:val="21"/>
          <w:szCs w:val="21"/>
        </w:rPr>
      </w:pPr>
      <w:r>
        <w:rPr>
          <w:rFonts w:hint="eastAsia" w:ascii="微软雅黑" w:hAnsi="微软雅黑" w:cs="微软雅黑"/>
          <w:sz w:val="21"/>
          <w:szCs w:val="21"/>
        </w:rPr>
        <w:t>其中“管理员”拥有法定代表人权限，可申报或查询单位下所有事项，也可授权 “经办人角色”；“经办人”可代表企业完成事项申报。</w:t>
      </w:r>
    </w:p>
    <w:p>
      <w:pPr>
        <w:ind w:firstLine="480" w:firstLineChars="200"/>
        <w:rPr>
          <w:rFonts w:ascii="微软雅黑" w:hAnsi="微软雅黑" w:cs="微软雅黑"/>
          <w:sz w:val="21"/>
          <w:szCs w:val="21"/>
        </w:rPr>
      </w:pPr>
      <w:r>
        <w:drawing>
          <wp:inline distT="0" distB="0" distL="114300" distR="114300">
            <wp:extent cx="5266055" cy="3631565"/>
            <wp:effectExtent l="0" t="0" r="4445" b="635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63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ascii="微软雅黑" w:hAnsi="微软雅黑" w:cs="微软雅黑"/>
          <w:sz w:val="21"/>
          <w:szCs w:val="21"/>
        </w:rPr>
      </w:pPr>
      <w:r>
        <w:rPr>
          <w:rFonts w:ascii="微软雅黑" w:hAnsi="微软雅黑" w:cs="微软雅黑"/>
          <w:sz w:val="21"/>
          <w:szCs w:val="21"/>
        </w:rPr>
        <w:t>2</w:t>
      </w:r>
      <w:r>
        <w:rPr>
          <w:rFonts w:hint="eastAsia" w:ascii="微软雅黑" w:hAnsi="微软雅黑" w:cs="微软雅黑"/>
          <w:sz w:val="21"/>
          <w:szCs w:val="21"/>
        </w:rPr>
        <w:t>、点击“添加授权”，填写</w:t>
      </w:r>
      <w:r>
        <w:rPr>
          <w:rFonts w:ascii="微软雅黑" w:hAnsi="微软雅黑" w:cs="微软雅黑"/>
          <w:sz w:val="21"/>
          <w:szCs w:val="21"/>
        </w:rPr>
        <w:t>授权信息。其中，</w:t>
      </w:r>
      <w:r>
        <w:rPr>
          <w:rFonts w:hint="eastAsia" w:ascii="微软雅黑" w:hAnsi="微软雅黑" w:cs="微软雅黑"/>
          <w:sz w:val="21"/>
          <w:szCs w:val="21"/>
        </w:rPr>
        <w:t>被授权人需已完成</w:t>
      </w:r>
      <w:r>
        <w:rPr>
          <w:rFonts w:ascii="微软雅黑" w:hAnsi="微软雅黑" w:cs="微软雅黑"/>
          <w:sz w:val="21"/>
          <w:szCs w:val="21"/>
        </w:rPr>
        <w:t>”</w:t>
      </w:r>
      <w:r>
        <w:rPr>
          <w:rFonts w:hint="eastAsia" w:ascii="微软雅黑" w:hAnsi="微软雅黑" w:cs="微软雅黑"/>
          <w:sz w:val="21"/>
          <w:szCs w:val="21"/>
        </w:rPr>
        <w:t>宁</w:t>
      </w:r>
      <w:r>
        <w:rPr>
          <w:rFonts w:ascii="微软雅黑" w:hAnsi="微软雅黑" w:cs="微软雅黑"/>
          <w:sz w:val="21"/>
          <w:szCs w:val="21"/>
        </w:rPr>
        <w:t>企通“平台个人注册登录</w:t>
      </w:r>
      <w:r>
        <w:rPr>
          <w:rFonts w:hint="eastAsia" w:ascii="微软雅黑" w:hAnsi="微软雅黑" w:cs="微软雅黑"/>
          <w:sz w:val="21"/>
          <w:szCs w:val="21"/>
        </w:rPr>
        <w:t>，且注册手机号码与授权页面所填</w:t>
      </w:r>
      <w:r>
        <w:rPr>
          <w:rFonts w:ascii="微软雅黑" w:hAnsi="微软雅黑" w:cs="微软雅黑"/>
          <w:sz w:val="21"/>
          <w:szCs w:val="21"/>
        </w:rPr>
        <w:t>号码</w:t>
      </w:r>
      <w:r>
        <w:rPr>
          <w:rFonts w:hint="eastAsia" w:ascii="微软雅黑" w:hAnsi="微软雅黑" w:cs="微软雅黑"/>
          <w:sz w:val="21"/>
          <w:szCs w:val="21"/>
        </w:rPr>
        <w:t>保持一致。</w:t>
      </w:r>
    </w:p>
    <w:p>
      <w:pPr>
        <w:ind w:firstLine="444" w:firstLineChars="200"/>
        <w:rPr>
          <w:rFonts w:ascii="微软雅黑" w:hAnsi="微软雅黑" w:cs="微软雅黑"/>
          <w:spacing w:val="-3"/>
          <w:w w:val="95"/>
        </w:rPr>
      </w:pPr>
    </w:p>
    <w:p>
      <w:pPr>
        <w:rPr>
          <w:rFonts w:ascii="微软雅黑" w:hAnsi="微软雅黑" w:cs="微软雅黑"/>
          <w:sz w:val="21"/>
          <w:szCs w:val="21"/>
        </w:rPr>
      </w:pPr>
      <w:r>
        <w:rPr>
          <w:rFonts w:hint="eastAsia" w:ascii="微软雅黑" w:hAnsi="微软雅黑" w:cs="微软雅黑"/>
          <w:sz w:val="21"/>
          <w:szCs w:val="21"/>
        </w:rPr>
        <w:drawing>
          <wp:inline distT="0" distB="0" distL="114300" distR="114300">
            <wp:extent cx="5416550" cy="3034030"/>
            <wp:effectExtent l="0" t="0" r="6350" b="1270"/>
            <wp:docPr id="1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16550" cy="30340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cs="微软雅黑"/>
        </w:rPr>
      </w:pPr>
      <w:r>
        <w:rPr>
          <w:rFonts w:hint="eastAsia" w:ascii="微软雅黑" w:hAnsi="微软雅黑" w:cs="微软雅黑"/>
        </w:rPr>
        <w:t>方式二：短信申请授权</w:t>
      </w:r>
    </w:p>
    <w:p>
      <w:pPr>
        <w:ind w:firstLine="420" w:firstLineChars="200"/>
        <w:rPr>
          <w:rFonts w:ascii="微软雅黑" w:hAnsi="微软雅黑" w:cs="微软雅黑"/>
          <w:sz w:val="21"/>
          <w:szCs w:val="21"/>
        </w:rPr>
      </w:pPr>
      <w:r>
        <w:rPr>
          <w:rFonts w:ascii="微软雅黑" w:hAnsi="微软雅黑" w:cs="微软雅黑"/>
          <w:sz w:val="21"/>
          <w:szCs w:val="21"/>
        </w:rPr>
        <w:t>您</w:t>
      </w:r>
      <w:r>
        <w:rPr>
          <w:rFonts w:hint="eastAsia" w:ascii="微软雅黑" w:hAnsi="微软雅黑" w:cs="微软雅黑"/>
          <w:sz w:val="21"/>
          <w:szCs w:val="21"/>
        </w:rPr>
        <w:t>可在</w:t>
      </w:r>
      <w:r>
        <w:rPr>
          <w:rFonts w:ascii="微软雅黑" w:hAnsi="微软雅黑" w:cs="微软雅黑"/>
          <w:sz w:val="21"/>
          <w:szCs w:val="21"/>
        </w:rPr>
        <w:t>平台</w:t>
      </w:r>
      <w:r>
        <w:rPr>
          <w:rFonts w:hint="eastAsia" w:ascii="微软雅黑" w:hAnsi="微软雅黑" w:cs="微软雅黑"/>
          <w:sz w:val="21"/>
          <w:szCs w:val="21"/>
        </w:rPr>
        <w:t>选择本</w:t>
      </w:r>
      <w:r>
        <w:rPr>
          <w:rFonts w:ascii="微软雅黑" w:hAnsi="微软雅黑" w:cs="微软雅黑"/>
          <w:sz w:val="21"/>
          <w:szCs w:val="21"/>
        </w:rPr>
        <w:t>单位</w:t>
      </w:r>
      <w:r>
        <w:rPr>
          <w:rFonts w:hint="eastAsia" w:ascii="微软雅黑" w:hAnsi="微软雅黑" w:cs="微软雅黑"/>
          <w:sz w:val="21"/>
          <w:szCs w:val="21"/>
        </w:rPr>
        <w:t>一位管理员，平台向其发送短信为</w:t>
      </w:r>
      <w:r>
        <w:rPr>
          <w:rFonts w:ascii="微软雅黑" w:hAnsi="微软雅黑" w:cs="微软雅黑"/>
          <w:sz w:val="21"/>
          <w:szCs w:val="21"/>
        </w:rPr>
        <w:t>您</w:t>
      </w:r>
      <w:r>
        <w:rPr>
          <w:rFonts w:hint="eastAsia" w:ascii="微软雅黑" w:hAnsi="微软雅黑" w:cs="微软雅黑"/>
          <w:sz w:val="21"/>
          <w:szCs w:val="21"/>
        </w:rPr>
        <w:t>申请经办人权限，管理员通过短信回复是否</w:t>
      </w:r>
      <w:r>
        <w:rPr>
          <w:rFonts w:ascii="微软雅黑" w:hAnsi="微软雅黑" w:cs="微软雅黑"/>
          <w:sz w:val="21"/>
          <w:szCs w:val="21"/>
        </w:rPr>
        <w:t>授权</w:t>
      </w:r>
      <w:r>
        <w:rPr>
          <w:rFonts w:hint="eastAsia" w:ascii="微软雅黑" w:hAnsi="微软雅黑" w:cs="微软雅黑"/>
          <w:sz w:val="21"/>
          <w:szCs w:val="21"/>
        </w:rPr>
        <w:t>，若同意，您可拥有企业经办人权限；若不同意，您将不</w:t>
      </w:r>
      <w:r>
        <w:rPr>
          <w:rFonts w:ascii="微软雅黑" w:hAnsi="微软雅黑" w:cs="微软雅黑"/>
          <w:sz w:val="21"/>
          <w:szCs w:val="21"/>
        </w:rPr>
        <w:t>被授权经办人</w:t>
      </w:r>
      <w:r>
        <w:rPr>
          <w:rFonts w:hint="eastAsia" w:ascii="微软雅黑" w:hAnsi="微软雅黑" w:cs="微软雅黑"/>
          <w:sz w:val="21"/>
          <w:szCs w:val="21"/>
        </w:rPr>
        <w:t>权限。如果管理员2天未回复，默认结果为不同意。</w:t>
      </w:r>
    </w:p>
    <w:p>
      <w:pPr>
        <w:jc w:val="both"/>
      </w:pPr>
      <w:r>
        <w:drawing>
          <wp:inline distT="0" distB="0" distL="114300" distR="114300">
            <wp:extent cx="5263515" cy="2850515"/>
            <wp:effectExtent l="0" t="0" r="6985" b="6985"/>
            <wp:docPr id="1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85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4" w:type="default"/>
      <w:pgSz w:w="11900" w:h="16840"/>
      <w:pgMar w:top="1440" w:right="1800" w:bottom="1440" w:left="1800" w:header="851" w:footer="992" w:gutter="0"/>
      <w:pgNumType w:start="1"/>
      <w:cols w:space="720" w:num="1"/>
      <w:docGrid w:type="lines" w:linePitch="423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方正小标宋简体">
    <w:altName w:val="方正舒体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472487705"/>
    </w:sdtPr>
    <w:sdtContent>
      <w:p>
        <w:pPr>
          <w:pStyle w:val="8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>
    <w:pPr>
      <w:pStyle w:val="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19559F1"/>
    <w:multiLevelType w:val="multilevel"/>
    <w:tmpl w:val="C19559F1"/>
    <w:lvl w:ilvl="0" w:tentative="0">
      <w:start w:val="1"/>
      <w:numFmt w:val="decimal"/>
      <w:pStyle w:val="2"/>
      <w:lvlText w:val="%1."/>
      <w:lvlJc w:val="left"/>
      <w:pPr>
        <w:ind w:left="425" w:hanging="425"/>
      </w:pPr>
      <w:rPr>
        <w:rFonts w:hint="eastAsia"/>
      </w:rPr>
    </w:lvl>
    <w:lvl w:ilvl="1" w:tentative="0">
      <w:start w:val="1"/>
      <w:numFmt w:val="decimal"/>
      <w:pStyle w:val="3"/>
      <w:lvlText w:val="%1.%2."/>
      <w:lvlJc w:val="left"/>
      <w:pPr>
        <w:ind w:left="567" w:hanging="567"/>
      </w:pPr>
      <w:rPr>
        <w:rFonts w:hint="eastAsia"/>
      </w:rPr>
    </w:lvl>
    <w:lvl w:ilvl="2" w:tentative="0">
      <w:start w:val="1"/>
      <w:numFmt w:val="decimal"/>
      <w:pStyle w:val="4"/>
      <w:lvlText w:val="%1.%2.%3."/>
      <w:lvlJc w:val="left"/>
      <w:pPr>
        <w:ind w:left="992" w:hanging="709"/>
      </w:pPr>
      <w:rPr>
        <w:rFonts w:hint="eastAsia"/>
      </w:rPr>
    </w:lvl>
    <w:lvl w:ilvl="3" w:tentative="0">
      <w:start w:val="1"/>
      <w:numFmt w:val="decimal"/>
      <w:pStyle w:val="5"/>
      <w:lvlText w:val="%1.%2.%3.%4."/>
      <w:lvlJc w:val="left"/>
      <w:pPr>
        <w:ind w:left="851" w:hanging="851"/>
      </w:pPr>
      <w:rPr>
        <w:rFonts w:hint="eastAsia"/>
      </w:rPr>
    </w:lvl>
    <w:lvl w:ilvl="4" w:tentative="0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 w:tentative="0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footnotePr>
    <w:footnote w:id="0"/>
    <w:footnote w:id="1"/>
  </w:foot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3D9E3420"/>
    <w:rsid w:val="000750DD"/>
    <w:rsid w:val="00086059"/>
    <w:rsid w:val="000D35A2"/>
    <w:rsid w:val="001166EC"/>
    <w:rsid w:val="0015098E"/>
    <w:rsid w:val="00150ED9"/>
    <w:rsid w:val="001678BE"/>
    <w:rsid w:val="001C725B"/>
    <w:rsid w:val="001D49FF"/>
    <w:rsid w:val="00207F15"/>
    <w:rsid w:val="0025417B"/>
    <w:rsid w:val="002825DA"/>
    <w:rsid w:val="002B3EC3"/>
    <w:rsid w:val="002D64F4"/>
    <w:rsid w:val="0030580C"/>
    <w:rsid w:val="00306661"/>
    <w:rsid w:val="00344CE6"/>
    <w:rsid w:val="0035065C"/>
    <w:rsid w:val="003609DF"/>
    <w:rsid w:val="003666EC"/>
    <w:rsid w:val="003B5FA2"/>
    <w:rsid w:val="003F6785"/>
    <w:rsid w:val="00412CD1"/>
    <w:rsid w:val="00470204"/>
    <w:rsid w:val="00474698"/>
    <w:rsid w:val="004A170B"/>
    <w:rsid w:val="004B474C"/>
    <w:rsid w:val="004D7B13"/>
    <w:rsid w:val="004E7D28"/>
    <w:rsid w:val="004F5499"/>
    <w:rsid w:val="00535F2D"/>
    <w:rsid w:val="00547724"/>
    <w:rsid w:val="005522F6"/>
    <w:rsid w:val="00564204"/>
    <w:rsid w:val="005648D5"/>
    <w:rsid w:val="0056559E"/>
    <w:rsid w:val="00571CEA"/>
    <w:rsid w:val="00573B89"/>
    <w:rsid w:val="005C7C50"/>
    <w:rsid w:val="005D2198"/>
    <w:rsid w:val="005D78AB"/>
    <w:rsid w:val="006070C4"/>
    <w:rsid w:val="00654435"/>
    <w:rsid w:val="00662B28"/>
    <w:rsid w:val="006637E4"/>
    <w:rsid w:val="006638CB"/>
    <w:rsid w:val="006665AA"/>
    <w:rsid w:val="00675B47"/>
    <w:rsid w:val="006B36FC"/>
    <w:rsid w:val="00730869"/>
    <w:rsid w:val="00763528"/>
    <w:rsid w:val="00765B47"/>
    <w:rsid w:val="00795680"/>
    <w:rsid w:val="007C3109"/>
    <w:rsid w:val="007C3F2F"/>
    <w:rsid w:val="00801F8D"/>
    <w:rsid w:val="00813112"/>
    <w:rsid w:val="00816261"/>
    <w:rsid w:val="00820128"/>
    <w:rsid w:val="00877CEB"/>
    <w:rsid w:val="00887D6E"/>
    <w:rsid w:val="0089726B"/>
    <w:rsid w:val="008C03B5"/>
    <w:rsid w:val="008D1607"/>
    <w:rsid w:val="008D7394"/>
    <w:rsid w:val="00910B2C"/>
    <w:rsid w:val="00915A14"/>
    <w:rsid w:val="009378CC"/>
    <w:rsid w:val="00951453"/>
    <w:rsid w:val="00951DEA"/>
    <w:rsid w:val="009B4838"/>
    <w:rsid w:val="009C75FF"/>
    <w:rsid w:val="009F307D"/>
    <w:rsid w:val="00A5428D"/>
    <w:rsid w:val="00A560AA"/>
    <w:rsid w:val="00A940E2"/>
    <w:rsid w:val="00AB0623"/>
    <w:rsid w:val="00AC4114"/>
    <w:rsid w:val="00AE38B6"/>
    <w:rsid w:val="00B422EF"/>
    <w:rsid w:val="00B74906"/>
    <w:rsid w:val="00BD0B38"/>
    <w:rsid w:val="00BD787A"/>
    <w:rsid w:val="00C0740E"/>
    <w:rsid w:val="00C3002A"/>
    <w:rsid w:val="00C311E9"/>
    <w:rsid w:val="00C33F1B"/>
    <w:rsid w:val="00C54CE6"/>
    <w:rsid w:val="00C554A3"/>
    <w:rsid w:val="00C641E8"/>
    <w:rsid w:val="00CD5E7C"/>
    <w:rsid w:val="00D00F89"/>
    <w:rsid w:val="00D03BD9"/>
    <w:rsid w:val="00D97E1E"/>
    <w:rsid w:val="00DA2544"/>
    <w:rsid w:val="00DB1515"/>
    <w:rsid w:val="00E40DBF"/>
    <w:rsid w:val="00E4317C"/>
    <w:rsid w:val="00E50661"/>
    <w:rsid w:val="00E8738F"/>
    <w:rsid w:val="00E9593F"/>
    <w:rsid w:val="00EC5134"/>
    <w:rsid w:val="00ED2F6E"/>
    <w:rsid w:val="00EE058C"/>
    <w:rsid w:val="00EE600E"/>
    <w:rsid w:val="00EE66BB"/>
    <w:rsid w:val="00EF22F4"/>
    <w:rsid w:val="00F03CA3"/>
    <w:rsid w:val="00F27A51"/>
    <w:rsid w:val="00F30E8A"/>
    <w:rsid w:val="00FD2637"/>
    <w:rsid w:val="04D45C73"/>
    <w:rsid w:val="05B66C87"/>
    <w:rsid w:val="098C631E"/>
    <w:rsid w:val="09CC3478"/>
    <w:rsid w:val="0B4E005C"/>
    <w:rsid w:val="0FE97C61"/>
    <w:rsid w:val="11BE691D"/>
    <w:rsid w:val="12312987"/>
    <w:rsid w:val="16FD5AAE"/>
    <w:rsid w:val="17A4103D"/>
    <w:rsid w:val="1DA70195"/>
    <w:rsid w:val="24A501A2"/>
    <w:rsid w:val="25893C2C"/>
    <w:rsid w:val="2A654705"/>
    <w:rsid w:val="2E542A82"/>
    <w:rsid w:val="3B5D6FB4"/>
    <w:rsid w:val="3D9E3420"/>
    <w:rsid w:val="3E550ECD"/>
    <w:rsid w:val="40520D87"/>
    <w:rsid w:val="40A62E81"/>
    <w:rsid w:val="41E561D4"/>
    <w:rsid w:val="4560298E"/>
    <w:rsid w:val="468A2A67"/>
    <w:rsid w:val="4771241D"/>
    <w:rsid w:val="50EF6239"/>
    <w:rsid w:val="56352885"/>
    <w:rsid w:val="576D6FF6"/>
    <w:rsid w:val="5B37217A"/>
    <w:rsid w:val="5FD634B7"/>
    <w:rsid w:val="60003F63"/>
    <w:rsid w:val="6113367A"/>
    <w:rsid w:val="63F84309"/>
    <w:rsid w:val="64B5639F"/>
    <w:rsid w:val="663D022D"/>
    <w:rsid w:val="6E3556C0"/>
    <w:rsid w:val="6F2F0361"/>
    <w:rsid w:val="72B231FD"/>
    <w:rsid w:val="72BE7104"/>
    <w:rsid w:val="771D07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qFormat="1"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before="120" w:after="120"/>
    </w:pPr>
    <w:rPr>
      <w:rFonts w:ascii="等线" w:hAnsi="等线" w:eastAsia="微软雅黑" w:cs="Arial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18"/>
    <w:qFormat/>
    <w:uiPriority w:val="0"/>
    <w:pPr>
      <w:widowControl/>
      <w:numPr>
        <w:ilvl w:val="0"/>
        <w:numId w:val="1"/>
      </w:numPr>
      <w:spacing w:before="340" w:beforeAutospacing="1" w:after="340" w:afterAutospacing="1"/>
      <w:outlineLvl w:val="0"/>
    </w:pPr>
    <w:rPr>
      <w:rFonts w:ascii="宋体" w:hAnsi="宋体" w:cs="宋体"/>
      <w:b/>
      <w:bCs/>
      <w:kern w:val="36"/>
      <w:sz w:val="44"/>
      <w:szCs w:val="48"/>
    </w:rPr>
  </w:style>
  <w:style w:type="paragraph" w:styleId="3">
    <w:name w:val="heading 2"/>
    <w:basedOn w:val="1"/>
    <w:next w:val="1"/>
    <w:qFormat/>
    <w:uiPriority w:val="0"/>
    <w:pPr>
      <w:widowControl/>
      <w:numPr>
        <w:ilvl w:val="1"/>
        <w:numId w:val="1"/>
      </w:numPr>
      <w:spacing w:before="220" w:beforeAutospacing="1" w:after="220" w:afterAutospacing="1"/>
      <w:outlineLvl w:val="1"/>
    </w:pPr>
    <w:rPr>
      <w:rFonts w:ascii="宋体" w:hAnsi="宋体" w:cs="宋体"/>
      <w:b/>
      <w:bCs/>
      <w:kern w:val="0"/>
      <w:sz w:val="32"/>
      <w:szCs w:val="36"/>
    </w:rPr>
  </w:style>
  <w:style w:type="paragraph" w:styleId="4">
    <w:name w:val="heading 3"/>
    <w:basedOn w:val="1"/>
    <w:next w:val="1"/>
    <w:qFormat/>
    <w:uiPriority w:val="0"/>
    <w:pPr>
      <w:widowControl/>
      <w:numPr>
        <w:ilvl w:val="2"/>
        <w:numId w:val="1"/>
      </w:numPr>
      <w:spacing w:before="100" w:beforeAutospacing="1" w:after="100" w:afterAutospacing="1"/>
      <w:outlineLvl w:val="2"/>
    </w:pPr>
    <w:rPr>
      <w:rFonts w:ascii="宋体" w:eastAsia="宋体" w:cs="宋体"/>
      <w:b/>
      <w:bCs/>
      <w:kern w:val="0"/>
      <w:sz w:val="27"/>
      <w:szCs w:val="27"/>
    </w:rPr>
  </w:style>
  <w:style w:type="paragraph" w:styleId="5">
    <w:name w:val="heading 4"/>
    <w:basedOn w:val="1"/>
    <w:next w:val="1"/>
    <w:qFormat/>
    <w:uiPriority w:val="0"/>
    <w:pPr>
      <w:widowControl/>
      <w:numPr>
        <w:ilvl w:val="3"/>
        <w:numId w:val="1"/>
      </w:numPr>
      <w:spacing w:before="100" w:beforeAutospacing="1" w:after="100" w:afterAutospacing="1"/>
      <w:outlineLvl w:val="3"/>
    </w:pPr>
    <w:rPr>
      <w:rFonts w:ascii="宋体" w:eastAsia="宋体" w:cs="宋体"/>
      <w:b/>
      <w:bCs/>
      <w:kern w:val="0"/>
    </w:rPr>
  </w:style>
  <w:style w:type="character" w:default="1" w:styleId="15">
    <w:name w:val="Default Paragraph Font"/>
    <w:semiHidden/>
    <w:unhideWhenUsed/>
    <w:qFormat/>
    <w:uiPriority w:val="1"/>
  </w:style>
  <w:style w:type="table" w:default="1" w:styleId="1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Body Text"/>
    <w:basedOn w:val="1"/>
    <w:qFormat/>
    <w:uiPriority w:val="1"/>
    <w:rPr>
      <w:sz w:val="21"/>
      <w:szCs w:val="21"/>
    </w:rPr>
  </w:style>
  <w:style w:type="paragraph" w:styleId="7">
    <w:name w:val="toc 3"/>
    <w:basedOn w:val="1"/>
    <w:next w:val="1"/>
    <w:qFormat/>
    <w:uiPriority w:val="0"/>
    <w:pPr>
      <w:ind w:left="400" w:leftChars="400"/>
    </w:pPr>
  </w:style>
  <w:style w:type="paragraph" w:styleId="8">
    <w:name w:val="footer"/>
    <w:basedOn w:val="1"/>
    <w:qFormat/>
    <w:uiPriority w:val="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9">
    <w:name w:val="header"/>
    <w:basedOn w:val="1"/>
    <w:link w:val="2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1"/>
    <w:next w:val="1"/>
    <w:qFormat/>
    <w:uiPriority w:val="0"/>
  </w:style>
  <w:style w:type="paragraph" w:styleId="11">
    <w:name w:val="toc 4"/>
    <w:basedOn w:val="1"/>
    <w:next w:val="1"/>
    <w:qFormat/>
    <w:uiPriority w:val="0"/>
    <w:pPr>
      <w:ind w:left="1260"/>
    </w:pPr>
  </w:style>
  <w:style w:type="paragraph" w:styleId="12">
    <w:name w:val="toc 2"/>
    <w:basedOn w:val="1"/>
    <w:next w:val="1"/>
    <w:qFormat/>
    <w:uiPriority w:val="0"/>
    <w:pPr>
      <w:ind w:left="200" w:leftChars="200"/>
    </w:pPr>
  </w:style>
  <w:style w:type="paragraph" w:styleId="13">
    <w:name w:val="Normal (Web)"/>
    <w:basedOn w:val="1"/>
    <w:qFormat/>
    <w:uiPriority w:val="99"/>
    <w:pPr>
      <w:spacing w:before="0" w:beforeAutospacing="1" w:after="0" w:afterAutospacing="1"/>
    </w:pPr>
    <w:rPr>
      <w:rFonts w:cs="Times New Roman"/>
      <w:kern w:val="0"/>
    </w:rPr>
  </w:style>
  <w:style w:type="character" w:styleId="16">
    <w:name w:val="Hyperlink"/>
    <w:basedOn w:val="15"/>
    <w:qFormat/>
    <w:uiPriority w:val="0"/>
    <w:rPr>
      <w:color w:val="0000FF"/>
      <w:u w:val="single"/>
    </w:rPr>
  </w:style>
  <w:style w:type="paragraph" w:customStyle="1" w:styleId="17">
    <w:name w:val="无间隔1"/>
    <w:qFormat/>
    <w:uiPriority w:val="0"/>
    <w:pPr>
      <w:widowControl w:val="0"/>
      <w:jc w:val="both"/>
    </w:pPr>
    <w:rPr>
      <w:rFonts w:ascii="等线" w:hAnsi="Times New Roman" w:eastAsia="等线" w:cs="Arial"/>
      <w:kern w:val="2"/>
      <w:sz w:val="24"/>
      <w:szCs w:val="24"/>
      <w:lang w:val="en-US" w:eastAsia="zh-CN" w:bidi="ar-SA"/>
    </w:rPr>
  </w:style>
  <w:style w:type="character" w:customStyle="1" w:styleId="18">
    <w:name w:val="标题 1 字符"/>
    <w:basedOn w:val="15"/>
    <w:link w:val="2"/>
    <w:qFormat/>
    <w:uiPriority w:val="0"/>
    <w:rPr>
      <w:rFonts w:ascii="宋体" w:hAnsi="宋体" w:cs="宋体"/>
      <w:b/>
      <w:bCs/>
      <w:kern w:val="36"/>
      <w:sz w:val="44"/>
      <w:szCs w:val="48"/>
    </w:rPr>
  </w:style>
  <w:style w:type="paragraph" w:customStyle="1" w:styleId="19">
    <w:name w:val="列表段落1"/>
    <w:basedOn w:val="1"/>
    <w:qFormat/>
    <w:uiPriority w:val="1"/>
    <w:pPr>
      <w:spacing w:before="70"/>
      <w:ind w:left="487" w:hanging="368"/>
    </w:pPr>
  </w:style>
  <w:style w:type="paragraph" w:styleId="20">
    <w:name w:val="List Paragraph"/>
    <w:basedOn w:val="1"/>
    <w:qFormat/>
    <w:uiPriority w:val="99"/>
    <w:pPr>
      <w:ind w:firstLine="420" w:firstLineChars="200"/>
    </w:pPr>
  </w:style>
  <w:style w:type="character" w:customStyle="1" w:styleId="21">
    <w:name w:val="页眉 字符"/>
    <w:basedOn w:val="15"/>
    <w:link w:val="9"/>
    <w:qFormat/>
    <w:uiPriority w:val="0"/>
    <w:rPr>
      <w:rFonts w:ascii="等线" w:hAnsi="等线" w:eastAsia="微软雅黑" w:cs="Arial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footnotes" Target="footnotes.xml"/><Relationship Id="rId22" Type="http://schemas.openxmlformats.org/officeDocument/2006/relationships/fontTable" Target="fontTable.xml"/><Relationship Id="rId21" Type="http://schemas.openxmlformats.org/officeDocument/2006/relationships/customXml" Target="../customXml/item2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CB90092-B879-4AD1-8859-637BF80FDC1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1067</Words>
  <Characters>1103</Characters>
  <Lines>8</Lines>
  <Paragraphs>2</Paragraphs>
  <TotalTime>54</TotalTime>
  <ScaleCrop>false</ScaleCrop>
  <LinksUpToDate>false</LinksUpToDate>
  <CharactersWithSpaces>1107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2022-03-15T07:09:00Z</dcterms:created>
  <dc:creator>张贺</dc:creator>
  <cp:lastModifiedBy>张贺</cp:lastModifiedBy>
  <dcterms:modified xsi:type="dcterms:W3CDTF">2022-03-28T10:34:46Z</dcterms:modified>
  <cp:revision>31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D510BBD831B8415382F05E16A09DA33F</vt:lpwstr>
  </property>
</Properties>
</file>