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87" w:rsidRPr="0003351F" w:rsidRDefault="00252487" w:rsidP="00252487">
      <w:pPr>
        <w:spacing w:line="600" w:lineRule="exact"/>
        <w:rPr>
          <w:rFonts w:ascii="楷体" w:eastAsia="楷体" w:hAnsi="楷体"/>
          <w:sz w:val="32"/>
          <w:szCs w:val="32"/>
        </w:rPr>
      </w:pPr>
      <w:r w:rsidRPr="0003351F">
        <w:rPr>
          <w:rFonts w:ascii="楷体" w:eastAsia="楷体" w:hAnsi="楷体" w:hint="eastAsia"/>
          <w:sz w:val="32"/>
          <w:szCs w:val="32"/>
        </w:rPr>
        <w:t>附件</w:t>
      </w:r>
      <w:r w:rsidR="0092422D" w:rsidRPr="0003351F">
        <w:rPr>
          <w:rFonts w:ascii="楷体" w:eastAsia="楷体" w:hAnsi="楷体" w:hint="eastAsia"/>
          <w:sz w:val="32"/>
          <w:szCs w:val="32"/>
        </w:rPr>
        <w:t>2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jc w:val="center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2018年度南京市软科学研究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jc w:val="center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计划项目申报指南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Calibri" w:eastAsia="楷体" w:hAnsi="Calibri" w:cs="Calibri"/>
          <w:color w:val="111111"/>
          <w:kern w:val="0"/>
          <w:sz w:val="32"/>
          <w:szCs w:val="32"/>
        </w:rPr>
        <w:t> 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一、重点项目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1.南京建设具有影响力的科技产业创新中心路径研究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用产业的思维抓创新，把科技作为一个产业来打造，努力在“三高”即培育高新技术企业、打造高新技术园区、发展高新技术产业上实现新突破新跨越，提出南京具有影响力的科技产业创新中心的建设路径。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2.南京构建全国一流创新生态系统对策研究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围绕把南京打造成国内最鼓励创新、最适合创新、最具创新活力的城市，从载体、人才、金融和资源集聚等角度对标先进城市创新生态系统优势，针对存在的突出矛盾和问题，提出南京构建全国一流创新生态系统对策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3.南京新经济、新兴业态的结构特征与培育机制研究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南京新经济、新兴业态发展现状、特点，分析结构特征和培育机制，提出南京新经济、新兴业态培育对策建议。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3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4.面向一流科技园区建设体制机制优化路径研究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3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南京高新园区现状，剖析制约高新园区高质量发展的体制性障碍、结构性矛盾和政策性问题，围绕缩小与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lastRenderedPageBreak/>
        <w:t>先进地区差距，提出下一步高新园区体制机制优化的路径和举措。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3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5.南京科技体制综合改革评价及对策研究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近年来南京科技体制综合改革取得的成效，梳理可复制推广的经验做法，分析存在的瓶颈问题，提出进一步深化科技体制综合改革的对策建议。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6.南京白马升建国家农业高新技术产业示范区的发展定位、模式与路径研究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白马升建国家级示范区的总体定位和发展模式，在分析先进地区建设农业国家级高新技术产业园区案例基础上，提出白马升建国家级示范区路径选择建议。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7.科技创新推动南京经济高质量发展的对策研究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就科技创新对南京转变经济发展方式、优化经济结构、转换增长动力，推动经济高质量发展的对策和建议。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8.南京建立容错机制营造鼓励创新、宽容失败社会氛围对策研究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南京创新名城建设中在创新绩效评估、科技金融服务、重大科技决策等领域建立鼓励创新、宽容失败的容错机制，营造鼓励创新、宽容失败社会氛围的对策和建议。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9.南京发挥科教资源优势，促进校地融合发展对策研究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3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南京在校地互动合作新机制、开放共享创新资源、支持高校学科建设、建设新型研发机构、开发高校校友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lastRenderedPageBreak/>
        <w:t>资源等促进校地深度融合发展过程中出现的问题及其对策措施。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10.南京创新型企业梯次培育体系构建路径及对策研究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3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b/>
          <w:bCs/>
          <w:color w:val="111111"/>
          <w:kern w:val="0"/>
          <w:sz w:val="32"/>
          <w:szCs w:val="32"/>
        </w:rPr>
        <w:t>主要研究</w:t>
      </w: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南京构建创新型企业从科技型中小企业、高新技术企业，到科技型上市企业、领军型科技企业梯次培育体系的路径及其对策。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3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Calibri" w:eastAsia="楷体" w:hAnsi="Calibri" w:cs="Calibri"/>
          <w:color w:val="111111"/>
          <w:kern w:val="0"/>
          <w:sz w:val="32"/>
          <w:szCs w:val="32"/>
        </w:rPr>
        <w:t> 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二、一般项目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1.实施创新驱动发展“121”战略，建设全球影响力的</w:t>
      </w:r>
      <w:bookmarkStart w:id="0" w:name="_GoBack"/>
      <w:bookmarkEnd w:id="0"/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创新名城相关问题研究。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2.南京对非共识人才引进与培养相关问题研究。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3.围绕“4+4+1”主导产业发展方向，大力发展创新型产业集群相关问题研究。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4.南京“双创”活动对优化经济结构的作用相关问题研究。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5.围绕“4+4+1”主导产业，以产引才、企业研发人才引进相关问题研究。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6.加强知识产权创造、保护与运用相关问题研究。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7.实施开放创新，构建对外开放新格局相关问题研究。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8.完善城市功能、品质，提高城市首位度相关问题研究。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9.推动乡村振兴，推进农业农村现代化相关问题研究。</w:t>
      </w:r>
    </w:p>
    <w:p w:rsidR="00C07314" w:rsidRPr="0003351F" w:rsidRDefault="00C07314" w:rsidP="00C07314">
      <w:pPr>
        <w:widowControl/>
        <w:shd w:val="clear" w:color="auto" w:fill="FFFFFF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lastRenderedPageBreak/>
        <w:t>10.实施科技惠民，进一步提高保障和改善民生水平相关问题研究。</w:t>
      </w:r>
    </w:p>
    <w:p w:rsidR="00C07314" w:rsidRPr="0003351F" w:rsidRDefault="00C07314" w:rsidP="00C07314">
      <w:pPr>
        <w:widowControl/>
        <w:shd w:val="clear" w:color="auto" w:fill="FFFFFF"/>
        <w:spacing w:line="600" w:lineRule="atLeast"/>
        <w:ind w:firstLine="640"/>
        <w:jc w:val="left"/>
        <w:rPr>
          <w:rFonts w:ascii="楷体" w:eastAsia="楷体" w:hAnsi="楷体" w:cs="宋体"/>
          <w:color w:val="111111"/>
          <w:kern w:val="0"/>
          <w:sz w:val="32"/>
          <w:szCs w:val="32"/>
        </w:rPr>
      </w:pPr>
      <w:r w:rsidRPr="0003351F">
        <w:rPr>
          <w:rFonts w:ascii="楷体" w:eastAsia="楷体" w:hAnsi="楷体" w:cs="宋体" w:hint="eastAsia"/>
          <w:color w:val="111111"/>
          <w:kern w:val="0"/>
          <w:sz w:val="32"/>
          <w:szCs w:val="32"/>
        </w:rPr>
        <w:t>11.其他事关南京经济和社会发展方面的重要问题和政策研究。</w:t>
      </w:r>
    </w:p>
    <w:p w:rsidR="002E566B" w:rsidRPr="0003351F" w:rsidRDefault="009C4504" w:rsidP="00C07314">
      <w:pPr>
        <w:spacing w:line="640" w:lineRule="exact"/>
        <w:jc w:val="center"/>
        <w:rPr>
          <w:rFonts w:ascii="楷体" w:eastAsia="楷体" w:hAnsi="楷体"/>
          <w:sz w:val="32"/>
          <w:szCs w:val="32"/>
        </w:rPr>
      </w:pPr>
    </w:p>
    <w:sectPr w:rsidR="002E566B" w:rsidRPr="0003351F" w:rsidSect="0068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04" w:rsidRDefault="009C4504" w:rsidP="00252487">
      <w:r>
        <w:separator/>
      </w:r>
    </w:p>
  </w:endnote>
  <w:endnote w:type="continuationSeparator" w:id="0">
    <w:p w:rsidR="009C4504" w:rsidRDefault="009C4504" w:rsidP="0025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04" w:rsidRDefault="009C4504" w:rsidP="00252487">
      <w:r>
        <w:separator/>
      </w:r>
    </w:p>
  </w:footnote>
  <w:footnote w:type="continuationSeparator" w:id="0">
    <w:p w:rsidR="009C4504" w:rsidRDefault="009C4504" w:rsidP="0025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487"/>
    <w:rsid w:val="0003351F"/>
    <w:rsid w:val="00252487"/>
    <w:rsid w:val="002E04B6"/>
    <w:rsid w:val="00393945"/>
    <w:rsid w:val="004437F6"/>
    <w:rsid w:val="005445D7"/>
    <w:rsid w:val="005943CC"/>
    <w:rsid w:val="005D0051"/>
    <w:rsid w:val="00647A53"/>
    <w:rsid w:val="00681BD9"/>
    <w:rsid w:val="006C79E8"/>
    <w:rsid w:val="006D5795"/>
    <w:rsid w:val="00717CD0"/>
    <w:rsid w:val="008C5CAC"/>
    <w:rsid w:val="00921EEE"/>
    <w:rsid w:val="0092422D"/>
    <w:rsid w:val="009C4504"/>
    <w:rsid w:val="009E5313"/>
    <w:rsid w:val="00A26471"/>
    <w:rsid w:val="00C07314"/>
    <w:rsid w:val="00EA6D0D"/>
    <w:rsid w:val="00EC7A38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F6EF38-BF19-46D6-92BD-37354696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487"/>
    <w:rPr>
      <w:sz w:val="18"/>
      <w:szCs w:val="18"/>
    </w:rPr>
  </w:style>
  <w:style w:type="paragraph" w:customStyle="1" w:styleId="Char">
    <w:name w:val="Char"/>
    <w:basedOn w:val="a"/>
    <w:rsid w:val="00252487"/>
    <w:rPr>
      <w:szCs w:val="20"/>
    </w:rPr>
  </w:style>
  <w:style w:type="character" w:customStyle="1" w:styleId="apple-converted-space">
    <w:name w:val="apple-converted-space"/>
    <w:basedOn w:val="a0"/>
    <w:rsid w:val="00C0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李建梅</cp:lastModifiedBy>
  <cp:revision>5</cp:revision>
  <dcterms:created xsi:type="dcterms:W3CDTF">2017-03-08T07:48:00Z</dcterms:created>
  <dcterms:modified xsi:type="dcterms:W3CDTF">2018-04-26T01:31:00Z</dcterms:modified>
</cp:coreProperties>
</file>